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Calibri" w:cs="Calibri" w:eastAsia="Calibri" w:hAnsi="Calibri"/>
          <w:b/>
          <w:bCs/>
          <w:sz w:val="22"/>
          <w:szCs w:val="22"/>
        </w:rPr>
        <w:t xml:space="preserve">STUDENT FEE ADVISORY COMMITTEE (SFAC)</w:t>
      </w:r>
    </w:p>
    <w:p>
      <w:pPr>
        <w:spacing w:after="80" w:before="0"/>
      </w:pPr>
      <w:r>
        <w:rPr>
          <w:rFonts w:ascii="Calibri" w:cs="Calibri" w:eastAsia="Calibri" w:hAnsi="Calibri"/>
          <w:b/>
          <w:bCs/>
          <w:sz w:val="22"/>
          <w:szCs w:val="22"/>
        </w:rPr>
        <w:t xml:space="preserve">Week 6 – Winter Quarter Meeting</w:t>
      </w:r>
    </w:p>
    <w:p>
      <w:pPr>
        <w:spacing w:after="80" w:before="0"/>
      </w:pPr>
      <w:r>
        <w:rPr>
          <w:rFonts w:ascii="Calibri" w:cs="Calibri" w:eastAsia="Calibri" w:hAnsi="Calibri"/>
          <w:b/>
          <w:bCs/>
          <w:sz w:val="22"/>
          <w:szCs w:val="22"/>
        </w:rPr>
        <w:t xml:space="preserve">Thursday, February 12, 2026</w:t>
      </w:r>
    </w:p>
    <w:p>
      <w:pPr>
        <w:spacing w:after="80" w:before="0"/>
      </w:pPr>
      <w:r>
        <w:rPr>
          <w:rFonts w:ascii="Calibri" w:cs="Calibri" w:eastAsia="Calibri" w:hAnsi="Calibri"/>
          <w:b/>
          <w:bCs/>
          <w:sz w:val="22"/>
          <w:szCs w:val="22"/>
        </w:rPr>
        <w:t xml:space="preserve">Location: Zoom</w:t>
      </w:r>
    </w:p>
    <w:p>
      <w:pPr>
        <w:spacing w:after="160" w:before="0"/>
      </w:pPr>
      <w:r>
        <w:rPr>
          <w:rFonts w:ascii="Calibri" w:cs="Calibri" w:eastAsia="Calibri" w:hAnsi="Calibri"/>
          <w:b/>
          <w:bCs/>
          <w:sz w:val="22"/>
          <w:szCs w:val="22"/>
        </w:rPr>
        <w:t xml:space="preserve">Time: 9:00 AM – 11:01 AM</w:t>
      </w:r>
    </w:p>
    <w:p>
      <w:pPr>
        <w:spacing w:after="80" w:before="0"/>
      </w:pPr>
      <w:r>
        <w:rPr>
          <w:rFonts w:ascii="Calibri" w:cs="Calibri" w:eastAsia="Calibri" w:hAnsi="Calibri"/>
          <w:b/>
          <w:bCs/>
          <w:sz w:val="22"/>
          <w:szCs w:val="22"/>
        </w:rPr>
        <w:t xml:space="preserve">Attendance</w:t>
      </w:r>
    </w:p>
    <w:p>
      <w:pPr>
        <w:spacing w:after="60" w:before="0"/>
      </w:pPr>
      <w:r>
        <w:rPr>
          <w:rFonts w:ascii="Calibri" w:cs="Calibri" w:eastAsia="Calibri" w:hAnsi="Calibri"/>
          <w:b/>
          <w:bCs/>
          <w:sz w:val="22"/>
          <w:szCs w:val="22"/>
        </w:rPr>
        <w:t xml:space="preserve">Present</w:t>
      </w:r>
    </w:p>
    <w:p>
      <w:pPr>
        <w:spacing w:after="160" w:before="0"/>
      </w:pPr>
      <w:r>
        <w:rPr>
          <w:rFonts w:ascii="Calibri" w:cs="Calibri" w:eastAsia="Calibri" w:hAnsi="Calibri"/>
          <w:sz w:val="22"/>
          <w:szCs w:val="22"/>
        </w:rPr>
        <w:t xml:space="preserve">Graduate Students: Chair Sanjali Mitra; Christina Chance; Yiping Wang; Pratik Manwani</w:t>
      </w:r>
    </w:p>
    <w:p>
      <w:pPr>
        <w:spacing w:after="160" w:before="0"/>
      </w:pPr>
      <w:r>
        <w:rPr>
          <w:rFonts w:ascii="Calibri" w:cs="Calibri" w:eastAsia="Calibri" w:hAnsi="Calibri"/>
          <w:sz w:val="22"/>
          <w:szCs w:val="22"/>
        </w:rPr>
        <w:t xml:space="preserve">Undergraduate Students: Vice Chair Allston Liu; Mehreen Suzaan</w:t>
      </w:r>
    </w:p>
    <w:p>
      <w:pPr>
        <w:spacing w:after="160" w:before="0"/>
      </w:pPr>
      <w:r>
        <w:rPr>
          <w:rFonts w:ascii="Calibri" w:cs="Calibri" w:eastAsia="Calibri" w:hAnsi="Calibri"/>
          <w:sz w:val="22"/>
          <w:szCs w:val="22"/>
        </w:rPr>
        <w:t xml:space="preserve">Administrators: Karen Hedges; Erinn McMahan</w:t>
      </w:r>
    </w:p>
    <w:p>
      <w:pPr>
        <w:spacing w:after="160" w:before="0"/>
      </w:pPr>
      <w:r>
        <w:rPr>
          <w:rFonts w:ascii="Calibri" w:cs="Calibri" w:eastAsia="Calibri" w:hAnsi="Calibri"/>
          <w:sz w:val="22"/>
          <w:szCs w:val="22"/>
        </w:rPr>
        <w:t xml:space="preserve">Advisor: Christine Wilson</w:t>
      </w:r>
    </w:p>
    <w:p>
      <w:pPr>
        <w:spacing w:after="80" w:before="0"/>
      </w:pPr>
      <w:r>
        <w:rPr>
          <w:rFonts w:ascii="Calibri" w:cs="Calibri" w:eastAsia="Calibri" w:hAnsi="Calibri"/>
          <w:sz w:val="22"/>
          <w:szCs w:val="22"/>
        </w:rPr>
        <w:t xml:space="preserve"/>
      </w:r>
    </w:p>
    <w:p>
      <w:pPr>
        <w:spacing w:after="60" w:before="0"/>
      </w:pPr>
      <w:r>
        <w:rPr>
          <w:rFonts w:ascii="Calibri" w:cs="Calibri" w:eastAsia="Calibri" w:hAnsi="Calibri"/>
          <w:b/>
          <w:bCs/>
          <w:sz w:val="22"/>
          <w:szCs w:val="22"/>
        </w:rPr>
        <w:t xml:space="preserve">Not Present</w:t>
      </w:r>
    </w:p>
    <w:p>
      <w:pPr>
        <w:spacing w:after="160" w:before="0"/>
      </w:pPr>
      <w:r>
        <w:rPr>
          <w:rFonts w:ascii="Calibri" w:cs="Calibri" w:eastAsia="Calibri" w:hAnsi="Calibri"/>
          <w:sz w:val="22"/>
          <w:szCs w:val="22"/>
        </w:rPr>
        <w:t xml:space="preserve">Undergraduate Students: Emily Kim; Flo Cudal</w:t>
      </w:r>
    </w:p>
    <w:p>
      <w:pPr>
        <w:spacing w:after="80" w:before="0"/>
      </w:pPr>
      <w:r>
        <w:rPr>
          <w:rFonts w:ascii="Calibri" w:cs="Calibri" w:eastAsia="Calibri" w:hAnsi="Calibri"/>
          <w:sz w:val="22"/>
          <w:szCs w:val="22"/>
        </w:rPr>
        <w:t xml:space="preserve"/>
      </w:r>
    </w:p>
    <w:p>
      <w:pPr>
        <w:spacing w:after="60" w:before="0"/>
      </w:pPr>
      <w:r>
        <w:rPr>
          <w:rFonts w:ascii="Calibri" w:cs="Calibri" w:eastAsia="Calibri" w:hAnsi="Calibri"/>
          <w:b/>
          <w:bCs/>
          <w:sz w:val="22"/>
          <w:szCs w:val="22"/>
        </w:rPr>
        <w:t xml:space="preserve">Guests</w:t>
      </w:r>
    </w:p>
    <w:p>
      <w:pPr>
        <w:spacing w:after="160" w:before="0"/>
      </w:pPr>
      <w:r>
        <w:rPr>
          <w:rFonts w:ascii="Calibri" w:cs="Calibri" w:eastAsia="Calibri" w:hAnsi="Calibri"/>
          <w:sz w:val="22"/>
          <w:szCs w:val="22"/>
        </w:rPr>
        <w:t xml:space="preserve">Diego Bollo, USAC President</w:t>
      </w:r>
    </w:p>
    <w:p>
      <w:pPr>
        <w:spacing w:after="160" w:before="0"/>
      </w:pPr>
      <w:r>
        <w:rPr>
          <w:rFonts w:ascii="Calibri" w:cs="Calibri" w:eastAsia="Calibri" w:hAnsi="Calibri"/>
          <w:sz w:val="22"/>
          <w:szCs w:val="22"/>
        </w:rPr>
        <w:t xml:space="preserve">Oliver Clark, USAC Staff</w:t>
      </w:r>
    </w:p>
    <w:p>
      <w:pPr>
        <w:spacing w:after="80" w:before="0"/>
      </w:pPr>
      <w:r>
        <w:rPr>
          <w:rFonts w:ascii="Calibri" w:cs="Calibri" w:eastAsia="Calibri" w:hAnsi="Calibri"/>
          <w:sz w:val="22"/>
          <w:szCs w:val="22"/>
        </w:rPr>
        <w:t xml:space="preserve"/>
      </w:r>
    </w:p>
    <w:p>
      <w:pPr>
        <w:spacing w:after="80" w:before="0"/>
      </w:pPr>
      <w:r>
        <w:rPr>
          <w:rFonts w:ascii="Calibri" w:cs="Calibri" w:eastAsia="Calibri" w:hAnsi="Calibri"/>
          <w:b/>
          <w:bCs/>
          <w:sz w:val="22"/>
          <w:szCs w:val="22"/>
        </w:rPr>
        <w:t xml:space="preserve">Agenda</w:t>
      </w:r>
    </w:p>
    <w:p>
      <w:pPr>
        <w:spacing w:after="160" w:before="0"/>
      </w:pPr>
      <w:r>
        <w:rPr>
          <w:rFonts w:ascii="Calibri" w:cs="Calibri" w:eastAsia="Calibri" w:hAnsi="Calibri"/>
          <w:sz w:val="22"/>
          <w:szCs w:val="22"/>
        </w:rPr>
        <w:t xml:space="preserve">1. Approval of the Agenda</w:t>
      </w:r>
    </w:p>
    <w:p>
      <w:pPr>
        <w:spacing w:after="160" w:before="0"/>
      </w:pPr>
      <w:r>
        <w:rPr>
          <w:rFonts w:ascii="Calibri" w:cs="Calibri" w:eastAsia="Calibri" w:hAnsi="Calibri"/>
          <w:sz w:val="22"/>
          <w:szCs w:val="22"/>
        </w:rPr>
        <w:t xml:space="preserve">2. Discussion with USAC President Diego Bollo (USAC priorities, Referenda, and SSF-funded student committees)</w:t>
      </w:r>
    </w:p>
    <w:p>
      <w:pPr>
        <w:spacing w:after="160" w:before="0"/>
      </w:pPr>
      <w:r>
        <w:rPr>
          <w:rFonts w:ascii="Calibri" w:cs="Calibri" w:eastAsia="Calibri" w:hAnsi="Calibri"/>
          <w:sz w:val="22"/>
          <w:szCs w:val="22"/>
        </w:rPr>
        <w:t xml:space="preserve">3. Review Career Center</w:t>
      </w:r>
    </w:p>
    <w:p>
      <w:pPr>
        <w:spacing w:after="160" w:before="0"/>
      </w:pPr>
      <w:r>
        <w:rPr>
          <w:rFonts w:ascii="Calibri" w:cs="Calibri" w:eastAsia="Calibri" w:hAnsi="Calibri"/>
          <w:sz w:val="22"/>
          <w:szCs w:val="22"/>
        </w:rPr>
        <w:t xml:space="preserve">4. Review GSRC and GWC</w:t>
      </w:r>
    </w:p>
    <w:p>
      <w:pPr>
        <w:spacing w:after="80" w:before="0"/>
      </w:pPr>
      <w:r>
        <w:rPr>
          <w:rFonts w:ascii="Calibri" w:cs="Calibri" w:eastAsia="Calibri" w:hAnsi="Calibri"/>
          <w:sz w:val="22"/>
          <w:szCs w:val="22"/>
        </w:rPr>
        <w:t xml:space="preserve"/>
      </w:r>
    </w:p>
    <w:p>
      <w:pPr>
        <w:spacing w:after="80" w:before="160"/>
      </w:pPr>
      <w:r>
        <w:rPr>
          <w:rFonts w:ascii="Calibri" w:cs="Calibri" w:eastAsia="Calibri" w:hAnsi="Calibri"/>
          <w:b/>
          <w:bCs/>
          <w:sz w:val="22"/>
          <w:szCs w:val="22"/>
        </w:rPr>
        <w:t xml:space="preserve">Call to Order</w:t>
      </w:r>
    </w:p>
    <w:p>
      <w:pPr>
        <w:spacing w:after="160" w:before="0"/>
      </w:pPr>
      <w:r>
        <w:rPr>
          <w:rFonts w:ascii="Calibri" w:cs="Calibri" w:eastAsia="Calibri" w:hAnsi="Calibri"/>
          <w:sz w:val="22"/>
          <w:szCs w:val="22"/>
        </w:rPr>
        <w:t xml:space="preserve">Chair Sanjali Mitra called the meeting to order at approximately 9:00 AM and confirmed that the committee had quorum.</w:t>
      </w:r>
    </w:p>
    <w:p>
      <w:pPr>
        <w:spacing w:after="80" w:before="200"/>
      </w:pPr>
      <w:r>
        <w:rPr>
          <w:rFonts w:ascii="Calibri" w:cs="Calibri" w:eastAsia="Calibri" w:hAnsi="Calibri"/>
          <w:b/>
          <w:bCs/>
          <w:sz w:val="22"/>
          <w:szCs w:val="22"/>
        </w:rPr>
        <w:t xml:space="preserve">1. Approval of the Agenda</w:t>
      </w:r>
    </w:p>
    <w:p>
      <w:pPr>
        <w:spacing w:after="160" w:before="0"/>
      </w:pPr>
      <w:r>
        <w:rPr>
          <w:rFonts w:ascii="Calibri" w:cs="Calibri" w:eastAsia="Calibri" w:hAnsi="Calibri"/>
          <w:sz w:val="22"/>
          <w:szCs w:val="22"/>
        </w:rPr>
        <w:t xml:space="preserve">Chair Mitra presented the agenda as distributed and asked for a motion to approve.</w:t>
      </w:r>
    </w:p>
    <w:p>
      <w:pPr>
        <w:spacing w:after="80" w:before="0"/>
      </w:pPr>
      <w:r>
        <w:rPr>
          <w:rFonts w:ascii="Calibri" w:cs="Calibri" w:eastAsia="Calibri" w:hAnsi="Calibri"/>
          <w:sz w:val="22"/>
          <w:szCs w:val="22"/>
        </w:rPr>
        <w:t xml:space="preserve"/>
      </w:r>
    </w:p>
    <w:p>
      <w:pPr>
        <w:spacing w:after="60" w:before="0"/>
      </w:pPr>
      <w:r>
        <w:rPr>
          <w:rFonts w:ascii="Calibri" w:cs="Calibri" w:eastAsia="Calibri" w:hAnsi="Calibri"/>
          <w:b/>
          <w:bCs/>
          <w:sz w:val="22"/>
          <w:szCs w:val="22"/>
        </w:rPr>
        <w:t xml:space="preserve">Motion: </w:t>
      </w:r>
      <w:r>
        <w:rPr>
          <w:rFonts w:ascii="Calibri" w:cs="Calibri" w:eastAsia="Calibri" w:hAnsi="Calibri"/>
          <w:sz w:val="22"/>
          <w:szCs w:val="22"/>
        </w:rPr>
        <w:t xml:space="preserve">To approve the agenda as distributed.</w:t>
      </w:r>
    </w:p>
    <w:p>
      <w:pPr>
        <w:spacing w:after="60" w:before="0"/>
      </w:pPr>
      <w:r>
        <w:rPr>
          <w:rFonts w:ascii="Calibri" w:cs="Calibri" w:eastAsia="Calibri" w:hAnsi="Calibri"/>
          <w:b/>
          <w:bCs/>
          <w:sz w:val="22"/>
          <w:szCs w:val="22"/>
        </w:rPr>
        <w:t xml:space="preserve">Moved by: </w:t>
      </w:r>
      <w:r>
        <w:rPr>
          <w:rFonts w:ascii="Calibri" w:cs="Calibri" w:eastAsia="Calibri" w:hAnsi="Calibri"/>
          <w:sz w:val="22"/>
          <w:szCs w:val="22"/>
        </w:rPr>
        <w:t xml:space="preserve">Karen Hedges</w:t>
      </w:r>
    </w:p>
    <w:p>
      <w:pPr>
        <w:spacing w:after="60" w:before="0"/>
      </w:pPr>
      <w:r>
        <w:rPr>
          <w:rFonts w:ascii="Calibri" w:cs="Calibri" w:eastAsia="Calibri" w:hAnsi="Calibri"/>
          <w:b/>
          <w:bCs/>
          <w:sz w:val="22"/>
          <w:szCs w:val="22"/>
        </w:rPr>
        <w:t xml:space="preserve">Seconded by: </w:t>
      </w:r>
      <w:r>
        <w:rPr>
          <w:rFonts w:ascii="Calibri" w:cs="Calibri" w:eastAsia="Calibri" w:hAnsi="Calibri"/>
          <w:sz w:val="22"/>
          <w:szCs w:val="22"/>
        </w:rPr>
        <w:t xml:space="preserve">Yiping Wang</w:t>
      </w:r>
    </w:p>
    <w:p>
      <w:pPr>
        <w:spacing w:after="60" w:before="0"/>
      </w:pPr>
      <w:r>
        <w:rPr>
          <w:rFonts w:ascii="Calibri" w:cs="Calibri" w:eastAsia="Calibri" w:hAnsi="Calibri"/>
          <w:b/>
          <w:bCs/>
          <w:sz w:val="22"/>
          <w:szCs w:val="22"/>
        </w:rPr>
        <w:t xml:space="preserve">Outcome: </w:t>
      </w:r>
      <w:r>
        <w:rPr>
          <w:rFonts w:ascii="Calibri" w:cs="Calibri" w:eastAsia="Calibri" w:hAnsi="Calibri"/>
          <w:sz w:val="22"/>
          <w:szCs w:val="22"/>
        </w:rPr>
        <w:t xml:space="preserve">Motion passed by unanimous consent</w:t>
      </w:r>
    </w:p>
    <w:p>
      <w:pPr>
        <w:spacing w:after="80" w:before="0"/>
      </w:pPr>
      <w:r>
        <w:rPr>
          <w:rFonts w:ascii="Calibri" w:cs="Calibri" w:eastAsia="Calibri" w:hAnsi="Calibri"/>
          <w:sz w:val="22"/>
          <w:szCs w:val="22"/>
        </w:rPr>
        <w:t xml:space="preserve"/>
      </w:r>
    </w:p>
    <w:p>
      <w:pPr>
        <w:spacing w:after="80" w:before="200"/>
      </w:pPr>
      <w:r>
        <w:rPr>
          <w:rFonts w:ascii="Calibri" w:cs="Calibri" w:eastAsia="Calibri" w:hAnsi="Calibri"/>
          <w:b/>
          <w:bCs/>
          <w:sz w:val="22"/>
          <w:szCs w:val="22"/>
        </w:rPr>
        <w:t xml:space="preserve">2. Discussion with USAC President – Diego Bollo</w:t>
      </w:r>
    </w:p>
    <w:p>
      <w:pPr>
        <w:spacing w:after="160" w:before="0"/>
      </w:pPr>
      <w:r>
        <w:rPr>
          <w:rFonts w:ascii="Calibri" w:cs="Calibri" w:eastAsia="Calibri" w:hAnsi="Calibri"/>
          <w:sz w:val="22"/>
          <w:szCs w:val="22"/>
        </w:rPr>
        <w:t xml:space="preserve">USAC President Diego Bollo joined the meeting with USAC staffer Oliver Clark and provided an overview of USAC’s current priorities and activities following brief introductions from committee members.</w:t>
      </w:r>
    </w:p>
    <w:p>
      <w:pPr>
        <w:spacing w:after="80" w:before="160"/>
      </w:pPr>
      <w:r>
        <w:rPr>
          <w:rFonts w:ascii="Calibri" w:cs="Calibri" w:eastAsia="Calibri" w:hAnsi="Calibri"/>
          <w:b/>
          <w:bCs/>
          <w:sz w:val="22"/>
          <w:szCs w:val="22"/>
        </w:rPr>
        <w:t xml:space="preserve">USAC Commissioner Updates</w:t>
      </w:r>
    </w:p>
    <w:p>
      <w:pPr>
        <w:spacing w:after="160" w:before="0"/>
      </w:pPr>
      <w:r>
        <w:rPr>
          <w:rFonts w:ascii="Calibri" w:cs="Calibri" w:eastAsia="Calibri" w:hAnsi="Calibri"/>
          <w:sz w:val="22"/>
          <w:szCs w:val="22"/>
        </w:rPr>
        <w:t xml:space="preserve">President Bollo reported that USAC commissions are continuing regular programming, including major events through the Campus Events and Cultural Affairs Commissions, basic needs tabling through the Student Wellness Commission, lab coat rentals through the Financial Supports Commissioner, and expanded community service programming. He noted that the UC is considering a transition in UC SHIP coverage plans, with final decisions resting with each campus.</w:t>
      </w:r>
    </w:p>
    <w:p>
      <w:pPr>
        <w:spacing w:after="80" w:before="160"/>
      </w:pPr>
      <w:r>
        <w:rPr>
          <w:rFonts w:ascii="Calibri" w:cs="Calibri" w:eastAsia="Calibri" w:hAnsi="Calibri"/>
          <w:b/>
          <w:bCs/>
          <w:sz w:val="22"/>
          <w:szCs w:val="22"/>
        </w:rPr>
        <w:t xml:space="preserve">SIOC and CRC – Restructuring Update</w:t>
      </w:r>
    </w:p>
    <w:p>
      <w:pPr>
        <w:spacing w:after="160" w:before="0"/>
      </w:pPr>
      <w:r>
        <w:rPr>
          <w:rFonts w:ascii="Calibri" w:cs="Calibri" w:eastAsia="Calibri" w:hAnsi="Calibri"/>
          <w:sz w:val="22"/>
          <w:szCs w:val="22"/>
        </w:rPr>
        <w:t xml:space="preserve">President Bollo updated the committee on the Student Initiated Outreach Committee (SIOC) and Campus Retention Committee (CRC), both of which were paused over the summer for a compliance review. USAC worked with Student Affairs to restructure both committees, replacing the prior model — in which voting members were drawn from affiliated student projects — with an all-USAC-appointed membership structure to address conflicts of interest. New members were appointed in fall quarter and are currently being onboarded by Student Affairs. Funding allocations are not expected to be approved until spring quarter, leaving two quarters of fee funding unspent.</w:t>
      </w:r>
    </w:p>
    <w:p>
      <w:pPr>
        <w:spacing w:after="160" w:before="0"/>
      </w:pPr>
      <w:r>
        <w:rPr>
          <w:rFonts w:ascii="Calibri" w:cs="Calibri" w:eastAsia="Calibri" w:hAnsi="Calibri"/>
          <w:sz w:val="22"/>
          <w:szCs w:val="22"/>
        </w:rPr>
        <w:t xml:space="preserve">Chair Mitra noted that SFAC has been exploring shifting SIOC and CRC committee member stipends from SSF to referendum funds, given significant referendum carryforward balances. President Bollo confirmed that SIOC receives approximately $980,000 from its primary referendum plus $600,000 from the Social Justice Referendum, and CRC receives approximately $1,200,000 plus $600,000 from the Social Justice Referendum. Advisor Christine Wilson clarified that SFAC’s compensation policy covers appointed committee members only and that referendum-funded committees should be compensated from referendum funds rather than SSF where possible.</w:t>
      </w:r>
    </w:p>
    <w:p>
      <w:pPr>
        <w:spacing w:after="80" w:before="160"/>
      </w:pPr>
      <w:r>
        <w:rPr>
          <w:rFonts w:ascii="Calibri" w:cs="Calibri" w:eastAsia="Calibri" w:hAnsi="Calibri"/>
          <w:b/>
          <w:bCs/>
          <w:sz w:val="22"/>
          <w:szCs w:val="22"/>
        </w:rPr>
        <w:t xml:space="preserve">External Affairs and Legislative Updates</w:t>
      </w:r>
    </w:p>
    <w:p>
      <w:pPr>
        <w:spacing w:after="160" w:before="0"/>
      </w:pPr>
      <w:r>
        <w:rPr>
          <w:rFonts w:ascii="Calibri" w:cs="Calibri" w:eastAsia="Calibri" w:hAnsi="Calibri"/>
          <w:sz w:val="22"/>
          <w:szCs w:val="22"/>
        </w:rPr>
        <w:t xml:space="preserve">The UC Regents voted to implement cohort tuition permanently despite significant student opposition. USAC’s External Vice President is in contact with the Chancellor’s office on financial aid implications. SB 98, co-authored by the UC Student Association and signed by Governor Newsom, addresses on-campus immigration enforcement; USAC is coordinating with Campus Safety on outreach. The Metro Board voted in favor of Alternative 5 for the Sepulveda Corridor, which includes an on-campus UCLA station, with a public comment period underway.</w:t>
      </w:r>
    </w:p>
    <w:p>
      <w:pPr>
        <w:spacing w:after="80" w:before="160"/>
      </w:pPr>
      <w:r>
        <w:rPr>
          <w:rFonts w:ascii="Calibri" w:cs="Calibri" w:eastAsia="Calibri" w:hAnsi="Calibri"/>
          <w:b/>
          <w:bCs/>
          <w:sz w:val="22"/>
          <w:szCs w:val="22"/>
        </w:rPr>
        <w:t xml:space="preserve">Referenda</w:t>
      </w:r>
    </w:p>
    <w:p>
      <w:pPr>
        <w:spacing w:after="160" w:before="0"/>
      </w:pPr>
      <w:r>
        <w:rPr>
          <w:rFonts w:ascii="Calibri" w:cs="Calibri" w:eastAsia="Calibri" w:hAnsi="Calibri"/>
          <w:sz w:val="22"/>
          <w:szCs w:val="22"/>
        </w:rPr>
        <w:t xml:space="preserve">President Bollo described three referenda anticipated for the spring quarter election: an ASUCLA fee referendum (estimated $20–$29) to support student programming and operations; a Bruin Fresh referendum (under $10) to provide a CalFresh alternative for ineligible students; and a Bruin Success Referendum, introduced by the IVP’s office, to fund student services within Student Affairs and Undergraduate Education. Chair Mitra noted that referenda are required to come before SFAC for review and confirmed she would work with President Bollo to ensure referendum representatives are scheduled accordingly. The Elections Board timeline includes a consultation step with SFAC in Week 1 of spring quarter.</w:t>
      </w:r>
    </w:p>
    <w:p>
      <w:pPr>
        <w:spacing w:after="80" w:before="160"/>
      </w:pPr>
      <w:r>
        <w:rPr>
          <w:rFonts w:ascii="Calibri" w:cs="Calibri" w:eastAsia="Calibri" w:hAnsi="Calibri"/>
          <w:b/>
          <w:bCs/>
          <w:sz w:val="22"/>
          <w:szCs w:val="22"/>
        </w:rPr>
        <w:t xml:space="preserve">LA 2028 Olympics</w:t>
      </w:r>
    </w:p>
    <w:p>
      <w:pPr>
        <w:spacing w:after="160" w:before="0"/>
      </w:pPr>
      <w:r>
        <w:rPr>
          <w:rFonts w:ascii="Calibri" w:cs="Calibri" w:eastAsia="Calibri" w:hAnsi="Calibri"/>
          <w:sz w:val="22"/>
          <w:szCs w:val="22"/>
        </w:rPr>
        <w:t xml:space="preserve">President Bollo noted that USAC is represented on the LA28 Academic and Campus Subcommittees. Erinn McMahan provided context on UCLA’s financial arrangement with LA28, explaining that the agreement is designed as a break-even based on averaged historical data, with a prepayment made before the Games and supplemental reimbursement afterward. McMahan noted that impacts outside the Athletes Village boundaries — including ASUCLA-operated buildings and student recreation fee collection — remain unresolved. At McMahan’s request, specific financial details are not included in these minutes pending confidentiality review. President Bollo raised concerns about potential impacts on USAC’s summer fee revenue and referenced prior legal challenges from students charged fees when campus was closed during COVID-19.</w:t>
      </w:r>
    </w:p>
    <w:p>
      <w:pPr>
        <w:spacing w:after="80" w:before="160"/>
      </w:pPr>
      <w:r>
        <w:rPr>
          <w:rFonts w:ascii="Calibri" w:cs="Calibri" w:eastAsia="Calibri" w:hAnsi="Calibri"/>
          <w:b/>
          <w:bCs/>
          <w:sz w:val="22"/>
          <w:szCs w:val="22"/>
        </w:rPr>
        <w:t xml:space="preserve">Follow-Up Items</w:t>
      </w:r>
    </w:p>
    <w:p>
      <w:pPr>
        <w:spacing w:after="160" w:before="0"/>
      </w:pPr>
      <w:r>
        <w:rPr>
          <w:rFonts w:ascii="Calibri" w:cs="Calibri" w:eastAsia="Calibri" w:hAnsi="Calibri"/>
          <w:sz w:val="22"/>
          <w:szCs w:val="22"/>
        </w:rPr>
        <w:t xml:space="preserve">President Bollo will share annual SIOC and CRC funding figures with Chair Mitra. USAC will connect SFAC with referendum representatives as they are designated. Christine Wilson will monitor the Elections Board timeline and coordinate with Chair Mitra to schedule referenda presentations in spring quarter.</w:t>
      </w:r>
    </w:p>
    <w:p>
      <w:pPr>
        <w:spacing w:after="80" w:before="200"/>
      </w:pPr>
      <w:r>
        <w:rPr>
          <w:rFonts w:ascii="Calibri" w:cs="Calibri" w:eastAsia="Calibri" w:hAnsi="Calibri"/>
          <w:b/>
          <w:bCs/>
          <w:sz w:val="22"/>
          <w:szCs w:val="22"/>
        </w:rPr>
        <w:t xml:space="preserve">3. Review – Career Center</w:t>
      </w:r>
    </w:p>
    <w:p>
      <w:pPr>
        <w:spacing w:after="160" w:before="0"/>
      </w:pPr>
      <w:r>
        <w:rPr>
          <w:rFonts w:ascii="Calibri" w:cs="Calibri" w:eastAsia="Calibri" w:hAnsi="Calibri"/>
          <w:sz w:val="22"/>
          <w:szCs w:val="22"/>
        </w:rPr>
        <w:t xml:space="preserve">Karen Hedges led the committee’s review of the Career Center. The Career Center is UCLA’s centralized provider of career development services for undergraduate, graduate, and professional students, offering advising, workshops, employer events, and technology platforms. Permanent SSF supports professional staff; temporary SSF supports student staff and programming. The Career Center also generates revenue from employer participation fees, which has declined in recent years, affecting the overall budget.</w:t>
      </w:r>
    </w:p>
    <w:p>
      <w:pPr>
        <w:spacing w:after="80" w:before="160"/>
      </w:pPr>
      <w:r>
        <w:rPr>
          <w:rFonts w:ascii="Calibri" w:cs="Calibri" w:eastAsia="Calibri" w:hAnsi="Calibri"/>
          <w:b/>
          <w:bCs/>
          <w:sz w:val="22"/>
          <w:szCs w:val="22"/>
        </w:rPr>
        <w:t xml:space="preserve">SSF vs. “SFAC” Funding</w:t>
      </w:r>
    </w:p>
    <w:p>
      <w:pPr>
        <w:spacing w:after="160" w:before="0"/>
      </w:pPr>
      <w:r>
        <w:rPr>
          <w:rFonts w:ascii="Calibri" w:cs="Calibri" w:eastAsia="Calibri" w:hAnsi="Calibri"/>
          <w:sz w:val="22"/>
          <w:szCs w:val="22"/>
        </w:rPr>
        <w:t xml:space="preserve">The org chart distinguishes positions labeled “SSF” from those labeled “SFAC.” Christine Wilson clarified that both derive from the student service fee. Positions specifically recommended by SFAC carry additional protection and cannot be repurposed without a new SFAC recommendation to the Chancellor.</w:t>
      </w:r>
    </w:p>
    <w:p>
      <w:pPr>
        <w:spacing w:after="80" w:before="160"/>
      </w:pPr>
      <w:r>
        <w:rPr>
          <w:rFonts w:ascii="Calibri" w:cs="Calibri" w:eastAsia="Calibri" w:hAnsi="Calibri"/>
          <w:b/>
          <w:bCs/>
          <w:sz w:val="22"/>
          <w:szCs w:val="22"/>
        </w:rPr>
        <w:t xml:space="preserve">Staffing and Programming</w:t>
      </w:r>
    </w:p>
    <w:p>
      <w:pPr>
        <w:spacing w:after="160" w:before="0"/>
      </w:pPr>
      <w:r>
        <w:rPr>
          <w:rFonts w:ascii="Calibri" w:cs="Calibri" w:eastAsia="Calibri" w:hAnsi="Calibri"/>
          <w:sz w:val="22"/>
          <w:szCs w:val="22"/>
        </w:rPr>
        <w:t xml:space="preserve">The Career Center operates with ten professional staff and currently six of a planned twelve undergraduate Career Peers due to budget constraints. A funding request for career peers was withdrawn at Student Affairs’ direction to use donor funds instead. The Career Center is replacing Handshake with a new platform, 1220, at a cost of approximately $37,000. Christine Wilson noted that Handshake has shifted toward serving employer needs rather than students; the new platform contract has been signed and implementation is expected for the next academic year.</w:t>
      </w:r>
    </w:p>
    <w:p>
      <w:pPr>
        <w:spacing w:after="80" w:before="160"/>
      </w:pPr>
      <w:r>
        <w:rPr>
          <w:rFonts w:ascii="Calibri" w:cs="Calibri" w:eastAsia="Calibri" w:hAnsi="Calibri"/>
          <w:b/>
          <w:bCs/>
          <w:sz w:val="22"/>
          <w:szCs w:val="22"/>
        </w:rPr>
        <w:t xml:space="preserve">Budget Discussion</w:t>
      </w:r>
    </w:p>
    <w:p>
      <w:pPr>
        <w:spacing w:after="160" w:before="0"/>
      </w:pPr>
      <w:r>
        <w:rPr>
          <w:rFonts w:ascii="Calibri" w:cs="Calibri" w:eastAsia="Calibri" w:hAnsi="Calibri"/>
          <w:sz w:val="22"/>
          <w:szCs w:val="22"/>
        </w:rPr>
        <w:t xml:space="preserve">Chair Mitra noted that the Career Center’s allocated amounts exceed approved amounts in the trend report, consistent with other unit reviews. Erinn McMahan explained that merit increases are funded from temporary SSF in the first year and converted to permanent funding the following year, which accounts for some of the discrepancy. McMahan will work with Campus Life financial analyst Matthew Elkins to provide a full reconciliation the following week.</w:t>
      </w:r>
    </w:p>
    <w:p>
      <w:pPr>
        <w:spacing w:after="160" w:before="0"/>
      </w:pPr>
      <w:r>
        <w:rPr>
          <w:rFonts w:ascii="Calibri" w:cs="Calibri" w:eastAsia="Calibri" w:hAnsi="Calibri"/>
          <w:sz w:val="22"/>
          <w:szCs w:val="22"/>
        </w:rPr>
        <w:t xml:space="preserve">Christine Wilson noted that Student Affairs has been directing units to draw down donor fund balances before submitting new SSF requests and emphasized that the committee should track which units withdrew funding requests for this reason so they are not treated as new requests when donor funds run out. She also stressed that SSF funds are committed to student services and cannot be redirected to address campus-wide budget shortfalls without committee involvement.</w:t>
      </w:r>
    </w:p>
    <w:p>
      <w:pPr>
        <w:spacing w:after="80" w:before="160"/>
      </w:pPr>
      <w:r>
        <w:rPr>
          <w:rFonts w:ascii="Calibri" w:cs="Calibri" w:eastAsia="Calibri" w:hAnsi="Calibri"/>
          <w:b/>
          <w:bCs/>
          <w:sz w:val="22"/>
          <w:szCs w:val="22"/>
        </w:rPr>
        <w:t xml:space="preserve">Action Items</w:t>
      </w:r>
    </w:p>
    <w:p>
      <w:pPr>
        <w:spacing w:after="160" w:before="0"/>
      </w:pPr>
      <w:r>
        <w:rPr>
          <w:rFonts w:ascii="Calibri" w:cs="Calibri" w:eastAsia="Calibri" w:hAnsi="Calibri"/>
          <w:sz w:val="22"/>
          <w:szCs w:val="22"/>
        </w:rPr>
        <w:t xml:space="preserve">Erinn McMahan will provide a reconciliation of allocated versus approved SSF amounts by the following week. Chair Mitra will send follow-up questions to the Career Center on revenue breakdown and career peers funding plans.</w:t>
      </w:r>
    </w:p>
    <w:p>
      <w:pPr>
        <w:spacing w:after="80" w:before="200"/>
      </w:pPr>
      <w:r>
        <w:rPr>
          <w:rFonts w:ascii="Calibri" w:cs="Calibri" w:eastAsia="Calibri" w:hAnsi="Calibri"/>
          <w:b/>
          <w:bCs/>
          <w:sz w:val="22"/>
          <w:szCs w:val="22"/>
        </w:rPr>
        <w:t xml:space="preserve">4. Review – GSRC and GWC</w:t>
      </w:r>
    </w:p>
    <w:p>
      <w:pPr>
        <w:spacing w:after="160" w:before="0"/>
      </w:pPr>
      <w:r>
        <w:rPr>
          <w:rFonts w:ascii="Calibri" w:cs="Calibri" w:eastAsia="Calibri" w:hAnsi="Calibri"/>
          <w:sz w:val="22"/>
          <w:szCs w:val="22"/>
        </w:rPr>
        <w:t xml:space="preserve">Yiping Wang led the committee’s review of the Graduate Student Resource Center (GSRC) and the Graduate Writing Center (GWC). The GWC is housed within the GSRC, and together they serve more than 13,000 graduate and professional students.</w:t>
      </w:r>
    </w:p>
    <w:p>
      <w:pPr>
        <w:spacing w:after="80" w:before="160"/>
      </w:pPr>
      <w:r>
        <w:rPr>
          <w:rFonts w:ascii="Calibri" w:cs="Calibri" w:eastAsia="Calibri" w:hAnsi="Calibri"/>
          <w:b/>
          <w:bCs/>
          <w:sz w:val="22"/>
          <w:szCs w:val="22"/>
        </w:rPr>
        <w:t xml:space="preserve">GSRC</w:t>
      </w:r>
    </w:p>
    <w:p>
      <w:pPr>
        <w:spacing w:after="160" w:before="0"/>
      </w:pPr>
      <w:r>
        <w:rPr>
          <w:rFonts w:ascii="Calibri" w:cs="Calibri" w:eastAsia="Calibri" w:hAnsi="Calibri"/>
          <w:sz w:val="22"/>
          <w:szCs w:val="22"/>
        </w:rPr>
        <w:t xml:space="preserve">The GSRC provides centralized resources, referrals, and programming for graduate students, including Graduate Student Appreciation Week and the annual Graduate Student Orientation (GSO). Temporary SSF supports administrative assistants and graduate program coordinators; permanent SSF supports the assistant director, a program specialist, and GSO student staff. A program specialist position has been vacant since December 2024 due to the hiring freeze. GSRC is requesting approximately $9,000 for three GSO program coordinators and approximately $28,000 for four graduate program coordinators. The committee noted the unit review did not provide sufficient detail about the specific services the graduate program coordinators provide to students and asked that this be clarified in follow-up.</w:t>
      </w:r>
    </w:p>
    <w:p>
      <w:pPr>
        <w:spacing w:after="80" w:before="160"/>
      </w:pPr>
      <w:r>
        <w:rPr>
          <w:rFonts w:ascii="Calibri" w:cs="Calibri" w:eastAsia="Calibri" w:hAnsi="Calibri"/>
          <w:b/>
          <w:bCs/>
          <w:sz w:val="22"/>
          <w:szCs w:val="22"/>
        </w:rPr>
        <w:t xml:space="preserve">GWC</w:t>
      </w:r>
    </w:p>
    <w:p>
      <w:pPr>
        <w:spacing w:after="160" w:before="0"/>
      </w:pPr>
      <w:r>
        <w:rPr>
          <w:rFonts w:ascii="Calibri" w:cs="Calibri" w:eastAsia="Calibri" w:hAnsi="Calibri"/>
          <w:sz w:val="22"/>
          <w:szCs w:val="22"/>
        </w:rPr>
        <w:t xml:space="preserve">The GWC provides year-round writing consultation and professional development workshops, employing two to three graduate program assistants and 22 to 28 writing consultants. It was originally established through a student referendum (~2007) and has grown beyond what referendum funds alone can support. A unique arrangement allows return-to-aid funds from the GWC referendum, channeled through the Graduate Division, to be used to pay graduate writing consultants. GWC is requesting approximately $48,000 to fund five writing consultants and one program assistant, noting no projected carryforward in 2027–28 and the risk of staff cuts without this funding.</w:t>
      </w:r>
    </w:p>
    <w:p>
      <w:pPr>
        <w:spacing w:after="80" w:before="160"/>
      </w:pPr>
      <w:r>
        <w:rPr>
          <w:rFonts w:ascii="Calibri" w:cs="Calibri" w:eastAsia="Calibri" w:hAnsi="Calibri"/>
          <w:b/>
          <w:bCs/>
          <w:sz w:val="22"/>
          <w:szCs w:val="22"/>
        </w:rPr>
        <w:t xml:space="preserve">Key Discussion Points</w:t>
      </w:r>
    </w:p>
    <w:p>
      <w:pPr>
        <w:spacing w:after="160" w:before="0"/>
      </w:pPr>
      <w:r>
        <w:rPr>
          <w:rFonts w:ascii="Calibri" w:cs="Calibri" w:eastAsia="Calibri" w:hAnsi="Calibri"/>
          <w:sz w:val="22"/>
          <w:szCs w:val="22"/>
        </w:rPr>
        <w:t xml:space="preserve">Wang noted that GWC’s SSF request has approximately doubled compared to prior years. Christine Wilson explained this is because Student Affairs previously directed units to cut requests by roughly half due to depletion of the SSF over-enrollment surplus; units are now returning to their pre-reduction funding levels with Student Affairs’ approval.</w:t>
      </w:r>
    </w:p>
    <w:p>
      <w:pPr>
        <w:spacing w:after="160" w:before="0"/>
      </w:pPr>
      <w:r>
        <w:rPr>
          <w:rFonts w:ascii="Calibri" w:cs="Calibri" w:eastAsia="Calibri" w:hAnsi="Calibri"/>
          <w:sz w:val="22"/>
          <w:szCs w:val="22"/>
        </w:rPr>
        <w:t xml:space="preserve">Chair Mitra asked about the vacant shared program specialist position, whether it is unionized, and how the unit plans to fill it. Wilson noted this was unresolved as of December 2024 and recommended formal follow-up. Mitra also raised questions about the allocation of temporary 20002 funds, noting that SFAC historically made recommendations on these allocations and no longer does. Wilson confirmed this and suggested the committee consider re-engaging in that process through a written inquiry.</w:t>
      </w:r>
    </w:p>
    <w:p>
      <w:pPr>
        <w:spacing w:after="80" w:before="160"/>
      </w:pPr>
      <w:r>
        <w:rPr>
          <w:rFonts w:ascii="Calibri" w:cs="Calibri" w:eastAsia="Calibri" w:hAnsi="Calibri"/>
          <w:b/>
          <w:bCs/>
          <w:sz w:val="22"/>
          <w:szCs w:val="22"/>
        </w:rPr>
        <w:t xml:space="preserve">Action Items</w:t>
      </w:r>
    </w:p>
    <w:p>
      <w:pPr>
        <w:spacing w:after="160" w:before="0"/>
      </w:pPr>
      <w:r>
        <w:rPr>
          <w:rFonts w:ascii="Calibri" w:cs="Calibri" w:eastAsia="Calibri" w:hAnsi="Calibri"/>
          <w:sz w:val="22"/>
          <w:szCs w:val="22"/>
        </w:rPr>
        <w:t xml:space="preserve">Yiping Wang will add follow-up questions to the shared question sheet for GSRC and GWC, including the roles of graduate program coordinators, the status of the vacant program specialist position, clarification on permanent versus temporary funding for GSO student staff, and whether the units plan to apply for fellowship or internship funding this year. Chair Mitra and Advisor Wilson will discuss whether to initiate a formal inquiry regarding SFAC’s role in recommending 20002 fund allocations.</w:t>
      </w:r>
    </w:p>
    <w:p>
      <w:pPr>
        <w:spacing w:after="80" w:before="160"/>
      </w:pPr>
      <w:r>
        <w:rPr>
          <w:rFonts w:ascii="Calibri" w:cs="Calibri" w:eastAsia="Calibri" w:hAnsi="Calibri"/>
          <w:b/>
          <w:bCs/>
          <w:sz w:val="22"/>
          <w:szCs w:val="22"/>
        </w:rPr>
        <w:t xml:space="preserve">Closing Business</w:t>
      </w:r>
    </w:p>
    <w:p>
      <w:pPr>
        <w:spacing w:after="160" w:before="0"/>
      </w:pPr>
      <w:r>
        <w:rPr>
          <w:rFonts w:ascii="Calibri" w:cs="Calibri" w:eastAsia="Calibri" w:hAnsi="Calibri"/>
          <w:sz w:val="22"/>
          <w:szCs w:val="22"/>
        </w:rPr>
        <w:t xml:space="preserve">Chair Mitra noted that Week 7 reviews will include the Transfer Student Center and the Marching Band. Christine Wilson offered to prepare the Transfer Student Center review in place of Emily Kim, who will be unavailable. Yiping Wang will take on a unit review in Week 9.</w:t>
      </w:r>
    </w:p>
    <w:p>
      <w:pPr>
        <w:spacing w:after="80" w:before="160"/>
      </w:pPr>
      <w:r>
        <w:rPr>
          <w:rFonts w:ascii="Calibri" w:cs="Calibri" w:eastAsia="Calibri" w:hAnsi="Calibri"/>
          <w:b/>
          <w:bCs/>
          <w:sz w:val="22"/>
          <w:szCs w:val="22"/>
        </w:rPr>
        <w:t xml:space="preserve">Adjournment</w:t>
      </w:r>
    </w:p>
    <w:p>
      <w:pPr>
        <w:spacing w:after="160" w:before="0"/>
      </w:pPr>
      <w:r>
        <w:rPr>
          <w:rFonts w:ascii="Calibri" w:cs="Calibri" w:eastAsia="Calibri" w:hAnsi="Calibri"/>
          <w:sz w:val="22"/>
          <w:szCs w:val="22"/>
        </w:rPr>
        <w:t xml:space="preserve">Chair Sanjali Mitra adjourned the meeting at approximately 11:01 AM. Quorum was lost prior to adjournment; no formal motion to adjourn was required.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2026-05-13T22:39:19.848Z</dcterms:created>
  <dcterms:modified xsi:type="dcterms:W3CDTF">2026-05-13T22:39:19.864Z</dcterms:modified>
</cp:coreProperties>
</file>

<file path=docProps/custom.xml><?xml version="1.0" encoding="utf-8"?>
<Properties xmlns="http://schemas.openxmlformats.org/officeDocument/2006/custom-properties" xmlns:vt="http://schemas.openxmlformats.org/officeDocument/2006/docPropsVTypes"/>
</file>