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51E75" w14:textId="77777777" w:rsidR="001137DF" w:rsidRPr="00914649" w:rsidRDefault="00927089" w:rsidP="00F25328">
      <w:pPr>
        <w:spacing w:after="40"/>
        <w:jc w:val="center"/>
        <w:rPr>
          <w:rFonts w:asciiTheme="minorHAnsi" w:hAnsiTheme="minorHAnsi" w:cstheme="minorHAnsi"/>
          <w:sz w:val="22"/>
          <w:szCs w:val="22"/>
        </w:rPr>
      </w:pPr>
      <w:r w:rsidRPr="00914649">
        <w:rPr>
          <w:rFonts w:asciiTheme="minorHAnsi" w:hAnsiTheme="minorHAnsi" w:cstheme="minorHAnsi"/>
          <w:b/>
          <w:bCs/>
          <w:sz w:val="22"/>
          <w:szCs w:val="22"/>
        </w:rPr>
        <w:t>STUDENT FEE ADVISORY COMMITTEE (SFAC)</w:t>
      </w:r>
    </w:p>
    <w:p w14:paraId="79251E76" w14:textId="77777777" w:rsidR="001137DF" w:rsidRPr="00914649" w:rsidRDefault="00927089" w:rsidP="00F25328">
      <w:pPr>
        <w:spacing w:after="40"/>
        <w:jc w:val="center"/>
        <w:rPr>
          <w:rFonts w:asciiTheme="minorHAnsi" w:hAnsiTheme="minorHAnsi" w:cstheme="minorHAnsi"/>
          <w:sz w:val="22"/>
          <w:szCs w:val="22"/>
        </w:rPr>
      </w:pPr>
      <w:r w:rsidRPr="00914649">
        <w:rPr>
          <w:rFonts w:asciiTheme="minorHAnsi" w:hAnsiTheme="minorHAnsi" w:cstheme="minorHAnsi"/>
          <w:b/>
          <w:bCs/>
          <w:sz w:val="22"/>
          <w:szCs w:val="22"/>
        </w:rPr>
        <w:t>Week 8 – Winter Quarter Meeting</w:t>
      </w:r>
    </w:p>
    <w:p w14:paraId="79251E77" w14:textId="77777777" w:rsidR="001137DF" w:rsidRPr="00914649" w:rsidRDefault="00927089" w:rsidP="00F25328">
      <w:pPr>
        <w:spacing w:after="40"/>
        <w:jc w:val="center"/>
        <w:rPr>
          <w:rFonts w:asciiTheme="minorHAnsi" w:hAnsiTheme="minorHAnsi" w:cstheme="minorHAnsi"/>
          <w:sz w:val="22"/>
          <w:szCs w:val="22"/>
        </w:rPr>
      </w:pPr>
      <w:r w:rsidRPr="00914649">
        <w:rPr>
          <w:rFonts w:asciiTheme="minorHAnsi" w:hAnsiTheme="minorHAnsi" w:cstheme="minorHAnsi"/>
          <w:b/>
          <w:bCs/>
          <w:sz w:val="22"/>
          <w:szCs w:val="22"/>
        </w:rPr>
        <w:t>Thursday, February 26, 2026</w:t>
      </w:r>
    </w:p>
    <w:p w14:paraId="79251E78" w14:textId="77777777" w:rsidR="001137DF" w:rsidRPr="00914649" w:rsidRDefault="00927089" w:rsidP="00F25328">
      <w:pPr>
        <w:spacing w:after="40"/>
        <w:jc w:val="center"/>
        <w:rPr>
          <w:rFonts w:asciiTheme="minorHAnsi" w:hAnsiTheme="minorHAnsi" w:cstheme="minorHAnsi"/>
          <w:sz w:val="22"/>
          <w:szCs w:val="22"/>
        </w:rPr>
      </w:pPr>
      <w:r w:rsidRPr="00914649">
        <w:rPr>
          <w:rFonts w:asciiTheme="minorHAnsi" w:hAnsiTheme="minorHAnsi" w:cstheme="minorHAnsi"/>
          <w:b/>
          <w:bCs/>
          <w:sz w:val="22"/>
          <w:szCs w:val="22"/>
        </w:rPr>
        <w:t>Location: Zoom</w:t>
      </w:r>
    </w:p>
    <w:p w14:paraId="79251E79" w14:textId="77777777" w:rsidR="001137DF" w:rsidRPr="00914649" w:rsidRDefault="00927089" w:rsidP="00F25328">
      <w:pPr>
        <w:spacing w:after="40"/>
        <w:jc w:val="center"/>
        <w:rPr>
          <w:rFonts w:asciiTheme="minorHAnsi" w:hAnsiTheme="minorHAnsi" w:cstheme="minorHAnsi"/>
          <w:sz w:val="22"/>
          <w:szCs w:val="22"/>
        </w:rPr>
      </w:pPr>
      <w:r w:rsidRPr="00914649">
        <w:rPr>
          <w:rFonts w:asciiTheme="minorHAnsi" w:hAnsiTheme="minorHAnsi" w:cstheme="minorHAnsi"/>
          <w:b/>
          <w:bCs/>
          <w:sz w:val="22"/>
          <w:szCs w:val="22"/>
        </w:rPr>
        <w:t>Time: 9:00 AM – 11:02 AM</w:t>
      </w:r>
      <w:bookmarkStart w:id="0" w:name="_GoBack"/>
      <w:bookmarkEnd w:id="0"/>
    </w:p>
    <w:p w14:paraId="79251E7A"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Attendance</w:t>
      </w:r>
    </w:p>
    <w:p w14:paraId="79251E7B" w14:textId="77777777" w:rsidR="001137DF" w:rsidRPr="00914649" w:rsidRDefault="00927089">
      <w:pPr>
        <w:spacing w:before="60" w:after="60"/>
        <w:rPr>
          <w:rFonts w:asciiTheme="minorHAnsi" w:hAnsiTheme="minorHAnsi" w:cstheme="minorHAnsi"/>
          <w:i/>
          <w:sz w:val="22"/>
          <w:szCs w:val="22"/>
        </w:rPr>
      </w:pPr>
      <w:r w:rsidRPr="00914649">
        <w:rPr>
          <w:rFonts w:asciiTheme="minorHAnsi" w:hAnsiTheme="minorHAnsi" w:cstheme="minorHAnsi"/>
          <w:b/>
          <w:bCs/>
          <w:i/>
          <w:sz w:val="22"/>
          <w:szCs w:val="22"/>
        </w:rPr>
        <w:t>Present</w:t>
      </w:r>
    </w:p>
    <w:p w14:paraId="79251E7C"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Graduate Students: </w:t>
      </w:r>
      <w:r w:rsidRPr="00914649">
        <w:rPr>
          <w:rFonts w:asciiTheme="minorHAnsi" w:hAnsiTheme="minorHAnsi" w:cstheme="minorHAnsi"/>
          <w:sz w:val="22"/>
          <w:szCs w:val="22"/>
        </w:rPr>
        <w:t>Chair Sanjali Mitra; Christina Chance; Yiping Wang; Pratik Manwani</w:t>
      </w:r>
    </w:p>
    <w:p w14:paraId="79251E7D"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Undergraduate Students: </w:t>
      </w:r>
      <w:r w:rsidRPr="00914649">
        <w:rPr>
          <w:rFonts w:asciiTheme="minorHAnsi" w:hAnsiTheme="minorHAnsi" w:cstheme="minorHAnsi"/>
          <w:sz w:val="22"/>
          <w:szCs w:val="22"/>
        </w:rPr>
        <w:t xml:space="preserve">Vice Chair Allston Liu; Emily Kim; </w:t>
      </w:r>
      <w:proofErr w:type="spellStart"/>
      <w:r w:rsidRPr="00914649">
        <w:rPr>
          <w:rFonts w:asciiTheme="minorHAnsi" w:hAnsiTheme="minorHAnsi" w:cstheme="minorHAnsi"/>
          <w:sz w:val="22"/>
          <w:szCs w:val="22"/>
        </w:rPr>
        <w:t>Mehreen</w:t>
      </w:r>
      <w:proofErr w:type="spellEnd"/>
      <w:r w:rsidRPr="00914649">
        <w:rPr>
          <w:rFonts w:asciiTheme="minorHAnsi" w:hAnsiTheme="minorHAnsi" w:cstheme="minorHAnsi"/>
          <w:sz w:val="22"/>
          <w:szCs w:val="22"/>
        </w:rPr>
        <w:t xml:space="preserve"> </w:t>
      </w:r>
      <w:proofErr w:type="spellStart"/>
      <w:r w:rsidRPr="00914649">
        <w:rPr>
          <w:rFonts w:asciiTheme="minorHAnsi" w:hAnsiTheme="minorHAnsi" w:cstheme="minorHAnsi"/>
          <w:sz w:val="22"/>
          <w:szCs w:val="22"/>
        </w:rPr>
        <w:t>Suzaan</w:t>
      </w:r>
      <w:proofErr w:type="spellEnd"/>
    </w:p>
    <w:p w14:paraId="79251E7E"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Administrators: </w:t>
      </w:r>
      <w:r w:rsidRPr="00914649">
        <w:rPr>
          <w:rFonts w:asciiTheme="minorHAnsi" w:hAnsiTheme="minorHAnsi" w:cstheme="minorHAnsi"/>
          <w:sz w:val="22"/>
          <w:szCs w:val="22"/>
        </w:rPr>
        <w:t>Karen Hedges</w:t>
      </w:r>
    </w:p>
    <w:p w14:paraId="79251E7F"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Advisor: </w:t>
      </w:r>
      <w:r w:rsidRPr="00914649">
        <w:rPr>
          <w:rFonts w:asciiTheme="minorHAnsi" w:hAnsiTheme="minorHAnsi" w:cstheme="minorHAnsi"/>
          <w:sz w:val="22"/>
          <w:szCs w:val="22"/>
        </w:rPr>
        <w:t>Christine Wilson</w:t>
      </w:r>
    </w:p>
    <w:p w14:paraId="79251E80" w14:textId="701EBDE3" w:rsidR="001137DF" w:rsidRPr="00914649" w:rsidRDefault="00914649">
      <w:pPr>
        <w:spacing w:before="60" w:after="60"/>
        <w:rPr>
          <w:rFonts w:asciiTheme="minorHAnsi" w:hAnsiTheme="minorHAnsi" w:cstheme="minorHAnsi"/>
          <w:i/>
          <w:sz w:val="22"/>
          <w:szCs w:val="22"/>
        </w:rPr>
      </w:pPr>
      <w:r>
        <w:rPr>
          <w:rFonts w:asciiTheme="minorHAnsi" w:hAnsiTheme="minorHAnsi" w:cstheme="minorHAnsi"/>
          <w:b/>
          <w:bCs/>
          <w:sz w:val="22"/>
          <w:szCs w:val="22"/>
        </w:rPr>
        <w:br/>
      </w:r>
      <w:r w:rsidR="00927089" w:rsidRPr="00914649">
        <w:rPr>
          <w:rFonts w:asciiTheme="minorHAnsi" w:hAnsiTheme="minorHAnsi" w:cstheme="minorHAnsi"/>
          <w:b/>
          <w:bCs/>
          <w:i/>
          <w:sz w:val="22"/>
          <w:szCs w:val="22"/>
        </w:rPr>
        <w:t>Not Present</w:t>
      </w:r>
    </w:p>
    <w:p w14:paraId="79251E81"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b/>
          <w:bCs/>
          <w:sz w:val="22"/>
          <w:szCs w:val="22"/>
        </w:rPr>
        <w:t xml:space="preserve">Administrators: </w:t>
      </w:r>
      <w:r w:rsidRPr="00914649">
        <w:rPr>
          <w:rFonts w:asciiTheme="minorHAnsi" w:hAnsiTheme="minorHAnsi" w:cstheme="minorHAnsi"/>
          <w:sz w:val="22"/>
          <w:szCs w:val="22"/>
        </w:rPr>
        <w:t>Erinn McMahan</w:t>
      </w:r>
    </w:p>
    <w:p w14:paraId="79251E82"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b/>
          <w:bCs/>
          <w:sz w:val="22"/>
          <w:szCs w:val="22"/>
        </w:rPr>
        <w:t xml:space="preserve">Undergraduate Students: </w:t>
      </w:r>
      <w:r w:rsidRPr="00914649">
        <w:rPr>
          <w:rFonts w:asciiTheme="minorHAnsi" w:hAnsiTheme="minorHAnsi" w:cstheme="minorHAnsi"/>
          <w:sz w:val="22"/>
          <w:szCs w:val="22"/>
        </w:rPr>
        <w:t>Flo Cudal</w:t>
      </w:r>
    </w:p>
    <w:p w14:paraId="79251E83"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Agenda</w:t>
      </w:r>
    </w:p>
    <w:p w14:paraId="79251E84"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1. Approval of the Agenda</w:t>
      </w:r>
    </w:p>
    <w:p w14:paraId="79251E85"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2. Voting on Repurposing the GSA Publication Funds</w:t>
      </w:r>
    </w:p>
    <w:p w14:paraId="79251E86"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3. Review Case Management Services (CMS)</w:t>
      </w:r>
    </w:p>
    <w:p w14:paraId="79251E87"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4. Review Center for Art and Performance (CAP)</w:t>
      </w:r>
    </w:p>
    <w:p w14:paraId="79251E88"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 xml:space="preserve">5. Review </w:t>
      </w:r>
      <w:proofErr w:type="spellStart"/>
      <w:r w:rsidRPr="00914649">
        <w:rPr>
          <w:rFonts w:asciiTheme="minorHAnsi" w:hAnsiTheme="minorHAnsi" w:cstheme="minorHAnsi"/>
          <w:sz w:val="22"/>
          <w:szCs w:val="22"/>
        </w:rPr>
        <w:t>BruinAccess</w:t>
      </w:r>
      <w:proofErr w:type="spellEnd"/>
    </w:p>
    <w:p w14:paraId="79251E89"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6. Review Bruin Resource Center (BRC)</w:t>
      </w:r>
    </w:p>
    <w:p w14:paraId="79251E8A"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sz w:val="22"/>
          <w:szCs w:val="22"/>
        </w:rPr>
        <w:t>7. Review SSF Funding Request Sheet</w:t>
      </w:r>
    </w:p>
    <w:p w14:paraId="79251E8B"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Call to Order</w:t>
      </w:r>
    </w:p>
    <w:p w14:paraId="79251E8C"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Chair Sanjali Mitra called the meeting to order at approximately 9:00 AM and confirmed that the committee had quorum.</w:t>
      </w:r>
    </w:p>
    <w:p w14:paraId="79251E8D"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1. Approval of the Agenda</w:t>
      </w:r>
    </w:p>
    <w:p w14:paraId="79251E8F" w14:textId="5F9F8F2E" w:rsidR="001137DF" w:rsidRPr="00914649" w:rsidRDefault="00927089" w:rsidP="00914649">
      <w:pPr>
        <w:spacing w:before="60" w:after="60"/>
        <w:rPr>
          <w:rFonts w:asciiTheme="minorHAnsi" w:hAnsiTheme="minorHAnsi" w:cstheme="minorHAnsi"/>
          <w:sz w:val="22"/>
          <w:szCs w:val="22"/>
        </w:rPr>
      </w:pPr>
      <w:r w:rsidRPr="00914649">
        <w:rPr>
          <w:rFonts w:asciiTheme="minorHAnsi" w:hAnsiTheme="minorHAnsi" w:cstheme="minorHAnsi"/>
          <w:sz w:val="22"/>
          <w:szCs w:val="22"/>
        </w:rPr>
        <w:t>Chair Mitra presented the agenda as distributed and asked for a motion to approve.</w:t>
      </w:r>
    </w:p>
    <w:p w14:paraId="79251E90" w14:textId="26661083"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Motion: </w:t>
      </w:r>
      <w:r w:rsidRPr="00914649">
        <w:rPr>
          <w:rFonts w:asciiTheme="minorHAnsi" w:hAnsiTheme="minorHAnsi" w:cstheme="minorHAnsi"/>
          <w:sz w:val="22"/>
          <w:szCs w:val="22"/>
        </w:rPr>
        <w:t>To approve the agenda as distributed.</w:t>
      </w:r>
    </w:p>
    <w:p w14:paraId="79251E91"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Moved by: </w:t>
      </w:r>
      <w:r w:rsidRPr="00914649">
        <w:rPr>
          <w:rFonts w:asciiTheme="minorHAnsi" w:hAnsiTheme="minorHAnsi" w:cstheme="minorHAnsi"/>
          <w:sz w:val="22"/>
          <w:szCs w:val="22"/>
        </w:rPr>
        <w:t>Yiping Wang</w:t>
      </w:r>
    </w:p>
    <w:p w14:paraId="79251E92"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Seconded by: </w:t>
      </w:r>
      <w:r w:rsidRPr="00914649">
        <w:rPr>
          <w:rFonts w:asciiTheme="minorHAnsi" w:hAnsiTheme="minorHAnsi" w:cstheme="minorHAnsi"/>
          <w:sz w:val="22"/>
          <w:szCs w:val="22"/>
        </w:rPr>
        <w:t>Karen Hedges</w:t>
      </w:r>
    </w:p>
    <w:p w14:paraId="79251E93" w14:textId="77777777" w:rsidR="001137DF" w:rsidRPr="00914649" w:rsidRDefault="00927089" w:rsidP="00914649">
      <w:pPr>
        <w:spacing w:before="20" w:after="20"/>
        <w:rPr>
          <w:rFonts w:asciiTheme="minorHAnsi" w:hAnsiTheme="minorHAnsi" w:cstheme="minorHAnsi"/>
          <w:sz w:val="22"/>
          <w:szCs w:val="22"/>
        </w:rPr>
      </w:pPr>
      <w:r w:rsidRPr="00914649">
        <w:rPr>
          <w:rFonts w:asciiTheme="minorHAnsi" w:hAnsiTheme="minorHAnsi" w:cstheme="minorHAnsi"/>
          <w:b/>
          <w:bCs/>
          <w:sz w:val="22"/>
          <w:szCs w:val="22"/>
        </w:rPr>
        <w:t xml:space="preserve">Outcome: </w:t>
      </w:r>
      <w:r w:rsidRPr="00914649">
        <w:rPr>
          <w:rFonts w:asciiTheme="minorHAnsi" w:hAnsiTheme="minorHAnsi" w:cstheme="minorHAnsi"/>
          <w:sz w:val="22"/>
          <w:szCs w:val="22"/>
        </w:rPr>
        <w:t>Motion passed by unanimous consent</w:t>
      </w:r>
    </w:p>
    <w:p w14:paraId="79251E94"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2. Voting on Repurposing the GSA Publication Funds</w:t>
      </w:r>
    </w:p>
    <w:p w14:paraId="79251E95"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Chair Mitra briefly summarized the GSA proposal discussed in Week 7 — requesting approval to reallocate approximately $56,000 in historically allocated permanent SSF publication funds toward graduate student events and programming that promote research and community. She noted that not all members present in Week 8 had been present for the full discussion, and offered a brief recap of the key considerations.</w:t>
      </w:r>
    </w:p>
    <w:p w14:paraId="79251E96" w14:textId="434B0EE1" w:rsidR="001137DF" w:rsidRPr="00914649" w:rsidRDefault="00927089" w:rsidP="00914649">
      <w:pPr>
        <w:spacing w:before="80" w:after="80"/>
        <w:rPr>
          <w:rFonts w:asciiTheme="minorHAnsi" w:hAnsiTheme="minorHAnsi" w:cstheme="minorHAnsi"/>
          <w:sz w:val="22"/>
          <w:szCs w:val="22"/>
        </w:rPr>
      </w:pPr>
      <w:r w:rsidRPr="00914649">
        <w:rPr>
          <w:rFonts w:asciiTheme="minorHAnsi" w:hAnsiTheme="minorHAnsi" w:cstheme="minorHAnsi"/>
          <w:sz w:val="22"/>
          <w:szCs w:val="22"/>
        </w:rPr>
        <w:t xml:space="preserve">A question was raised about whether the committee could approve only a partial amount and redirect the remainder to other units. Advisor Wilson clarified that while SFAC can theoretically recommend </w:t>
      </w:r>
      <w:r w:rsidR="00914649">
        <w:rPr>
          <w:rFonts w:asciiTheme="minorHAnsi" w:hAnsiTheme="minorHAnsi" w:cstheme="minorHAnsi"/>
          <w:sz w:val="22"/>
          <w:szCs w:val="22"/>
        </w:rPr>
        <w:lastRenderedPageBreak/>
        <w:t>removal of</w:t>
      </w:r>
      <w:r w:rsidRPr="00914649">
        <w:rPr>
          <w:rFonts w:asciiTheme="minorHAnsi" w:hAnsiTheme="minorHAnsi" w:cstheme="minorHAnsi"/>
          <w:sz w:val="22"/>
          <w:szCs w:val="22"/>
        </w:rPr>
        <w:t xml:space="preserve"> historic</w:t>
      </w:r>
      <w:r w:rsidR="00914649">
        <w:rPr>
          <w:rFonts w:asciiTheme="minorHAnsi" w:hAnsiTheme="minorHAnsi" w:cstheme="minorHAnsi"/>
          <w:sz w:val="22"/>
          <w:szCs w:val="22"/>
        </w:rPr>
        <w:t>al</w:t>
      </w:r>
      <w:r w:rsidRPr="00914649">
        <w:rPr>
          <w:rFonts w:asciiTheme="minorHAnsi" w:hAnsiTheme="minorHAnsi" w:cstheme="minorHAnsi"/>
          <w:sz w:val="22"/>
          <w:szCs w:val="22"/>
        </w:rPr>
        <w:t xml:space="preserve"> allocations, doing so with long-standing permanent funds </w:t>
      </w:r>
      <w:r w:rsidR="00914649">
        <w:rPr>
          <w:rFonts w:asciiTheme="minorHAnsi" w:hAnsiTheme="minorHAnsi" w:cstheme="minorHAnsi"/>
          <w:sz w:val="22"/>
          <w:szCs w:val="22"/>
        </w:rPr>
        <w:t xml:space="preserve">in this case </w:t>
      </w:r>
      <w:r w:rsidRPr="00914649">
        <w:rPr>
          <w:rFonts w:asciiTheme="minorHAnsi" w:hAnsiTheme="minorHAnsi" w:cstheme="minorHAnsi"/>
          <w:sz w:val="22"/>
          <w:szCs w:val="22"/>
        </w:rPr>
        <w:t xml:space="preserve">would be politically likely to be rejected by the Chancellor. </w:t>
      </w:r>
    </w:p>
    <w:p w14:paraId="79251E97" w14:textId="77777777" w:rsidR="001137DF" w:rsidRPr="00914649" w:rsidRDefault="00927089" w:rsidP="00914649">
      <w:pPr>
        <w:spacing w:before="80" w:after="80"/>
        <w:rPr>
          <w:rFonts w:asciiTheme="minorHAnsi" w:hAnsiTheme="minorHAnsi" w:cstheme="minorHAnsi"/>
          <w:sz w:val="22"/>
          <w:szCs w:val="22"/>
        </w:rPr>
      </w:pPr>
      <w:r w:rsidRPr="00914649">
        <w:rPr>
          <w:rFonts w:asciiTheme="minorHAnsi" w:hAnsiTheme="minorHAnsi" w:cstheme="minorHAnsi"/>
          <w:sz w:val="22"/>
          <w:szCs w:val="22"/>
        </w:rPr>
        <w:t>The committee confirmed its intent to approve the reallocation, with the condition that GSA provide a brief mid-year accounting each year of how the funds have been spent and how their use aligns with the stated purpose — to promote graduate student research visibility and community. The committee also agreed that the funds should be renamed to reflect current use.</w:t>
      </w:r>
    </w:p>
    <w:p w14:paraId="79251E98" w14:textId="77777777" w:rsidR="001137DF" w:rsidRPr="00914649" w:rsidRDefault="001137DF">
      <w:pPr>
        <w:rPr>
          <w:rFonts w:asciiTheme="minorHAnsi" w:hAnsiTheme="minorHAnsi" w:cstheme="minorHAnsi"/>
          <w:sz w:val="22"/>
          <w:szCs w:val="22"/>
        </w:rPr>
      </w:pPr>
    </w:p>
    <w:p w14:paraId="79251E99" w14:textId="77777777" w:rsidR="001137DF" w:rsidRPr="00914649" w:rsidRDefault="00927089">
      <w:pPr>
        <w:spacing w:before="40" w:after="40"/>
        <w:rPr>
          <w:rFonts w:asciiTheme="minorHAnsi" w:hAnsiTheme="minorHAnsi" w:cstheme="minorHAnsi"/>
          <w:sz w:val="22"/>
          <w:szCs w:val="22"/>
        </w:rPr>
      </w:pPr>
      <w:r w:rsidRPr="00914649">
        <w:rPr>
          <w:rFonts w:asciiTheme="minorHAnsi" w:hAnsiTheme="minorHAnsi" w:cstheme="minorHAnsi"/>
          <w:b/>
          <w:bCs/>
          <w:sz w:val="22"/>
          <w:szCs w:val="22"/>
        </w:rPr>
        <w:t xml:space="preserve">Motion: </w:t>
      </w:r>
      <w:r w:rsidRPr="00914649">
        <w:rPr>
          <w:rFonts w:asciiTheme="minorHAnsi" w:hAnsiTheme="minorHAnsi" w:cstheme="minorHAnsi"/>
          <w:sz w:val="22"/>
          <w:szCs w:val="22"/>
        </w:rPr>
        <w:t>To approve GSA's proposal to reallocate its permanent SSF publication funds toward graduate student events and programming, with the provision that GSA complete a mid-year evaluation and budget summary each year detailing how the funds have been spent and how they will be used for the remainder of the year.</w:t>
      </w:r>
    </w:p>
    <w:p w14:paraId="79251E9A" w14:textId="77777777" w:rsidR="001137DF" w:rsidRPr="00914649" w:rsidRDefault="00927089">
      <w:pPr>
        <w:spacing w:before="40" w:after="40"/>
        <w:rPr>
          <w:rFonts w:asciiTheme="minorHAnsi" w:hAnsiTheme="minorHAnsi" w:cstheme="minorHAnsi"/>
          <w:sz w:val="22"/>
          <w:szCs w:val="22"/>
        </w:rPr>
      </w:pPr>
      <w:r w:rsidRPr="00914649">
        <w:rPr>
          <w:rFonts w:asciiTheme="minorHAnsi" w:hAnsiTheme="minorHAnsi" w:cstheme="minorHAnsi"/>
          <w:b/>
          <w:bCs/>
          <w:sz w:val="22"/>
          <w:szCs w:val="22"/>
        </w:rPr>
        <w:t xml:space="preserve">Moved by: </w:t>
      </w:r>
      <w:r w:rsidRPr="00914649">
        <w:rPr>
          <w:rFonts w:asciiTheme="minorHAnsi" w:hAnsiTheme="minorHAnsi" w:cstheme="minorHAnsi"/>
          <w:sz w:val="22"/>
          <w:szCs w:val="22"/>
        </w:rPr>
        <w:t>Karen Hedges</w:t>
      </w:r>
    </w:p>
    <w:p w14:paraId="79251E9B" w14:textId="77777777" w:rsidR="001137DF" w:rsidRPr="00914649" w:rsidRDefault="00927089">
      <w:pPr>
        <w:spacing w:before="40" w:after="40"/>
        <w:rPr>
          <w:rFonts w:asciiTheme="minorHAnsi" w:hAnsiTheme="minorHAnsi" w:cstheme="minorHAnsi"/>
          <w:sz w:val="22"/>
          <w:szCs w:val="22"/>
        </w:rPr>
      </w:pPr>
      <w:r w:rsidRPr="00914649">
        <w:rPr>
          <w:rFonts w:asciiTheme="minorHAnsi" w:hAnsiTheme="minorHAnsi" w:cstheme="minorHAnsi"/>
          <w:b/>
          <w:bCs/>
          <w:sz w:val="22"/>
          <w:szCs w:val="22"/>
        </w:rPr>
        <w:t xml:space="preserve">Seconded by: </w:t>
      </w:r>
      <w:r w:rsidRPr="00914649">
        <w:rPr>
          <w:rFonts w:asciiTheme="minorHAnsi" w:hAnsiTheme="minorHAnsi" w:cstheme="minorHAnsi"/>
          <w:sz w:val="22"/>
          <w:szCs w:val="22"/>
        </w:rPr>
        <w:t>Allston Liu</w:t>
      </w:r>
    </w:p>
    <w:p w14:paraId="79251E9C" w14:textId="77777777" w:rsidR="001137DF" w:rsidRPr="00914649" w:rsidRDefault="00927089">
      <w:pPr>
        <w:spacing w:before="40" w:after="40"/>
        <w:rPr>
          <w:rFonts w:asciiTheme="minorHAnsi" w:hAnsiTheme="minorHAnsi" w:cstheme="minorHAnsi"/>
          <w:sz w:val="22"/>
          <w:szCs w:val="22"/>
        </w:rPr>
      </w:pPr>
      <w:r w:rsidRPr="00914649">
        <w:rPr>
          <w:rFonts w:asciiTheme="minorHAnsi" w:hAnsiTheme="minorHAnsi" w:cstheme="minorHAnsi"/>
          <w:b/>
          <w:bCs/>
          <w:sz w:val="22"/>
          <w:szCs w:val="22"/>
        </w:rPr>
        <w:t xml:space="preserve">Outcome: </w:t>
      </w:r>
      <w:r w:rsidRPr="00914649">
        <w:rPr>
          <w:rFonts w:asciiTheme="minorHAnsi" w:hAnsiTheme="minorHAnsi" w:cstheme="minorHAnsi"/>
          <w:sz w:val="22"/>
          <w:szCs w:val="22"/>
        </w:rPr>
        <w:t>Motion passed by unanimous consent</w:t>
      </w:r>
    </w:p>
    <w:p w14:paraId="79251E9D"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3. Review – Case Management Services (CMS)</w:t>
      </w:r>
    </w:p>
    <w:p w14:paraId="79251E9E" w14:textId="77777777" w:rsidR="001137DF" w:rsidRPr="00914649" w:rsidRDefault="00927089" w:rsidP="00914649">
      <w:pPr>
        <w:spacing w:before="80" w:after="80"/>
        <w:rPr>
          <w:rFonts w:asciiTheme="minorHAnsi" w:hAnsiTheme="minorHAnsi" w:cstheme="minorHAnsi"/>
          <w:sz w:val="22"/>
          <w:szCs w:val="22"/>
        </w:rPr>
      </w:pPr>
      <w:proofErr w:type="spellStart"/>
      <w:r w:rsidRPr="00914649">
        <w:rPr>
          <w:rFonts w:asciiTheme="minorHAnsi" w:hAnsiTheme="minorHAnsi" w:cstheme="minorHAnsi"/>
          <w:sz w:val="22"/>
          <w:szCs w:val="22"/>
        </w:rPr>
        <w:t>Mehreen</w:t>
      </w:r>
      <w:proofErr w:type="spellEnd"/>
      <w:r w:rsidRPr="00914649">
        <w:rPr>
          <w:rFonts w:asciiTheme="minorHAnsi" w:hAnsiTheme="minorHAnsi" w:cstheme="minorHAnsi"/>
          <w:sz w:val="22"/>
          <w:szCs w:val="22"/>
        </w:rPr>
        <w:t xml:space="preserve"> </w:t>
      </w:r>
      <w:proofErr w:type="spellStart"/>
      <w:r w:rsidRPr="00914649">
        <w:rPr>
          <w:rFonts w:asciiTheme="minorHAnsi" w:hAnsiTheme="minorHAnsi" w:cstheme="minorHAnsi"/>
          <w:sz w:val="22"/>
          <w:szCs w:val="22"/>
        </w:rPr>
        <w:t>Suzaan</w:t>
      </w:r>
      <w:proofErr w:type="spellEnd"/>
      <w:r w:rsidRPr="00914649">
        <w:rPr>
          <w:rFonts w:asciiTheme="minorHAnsi" w:hAnsiTheme="minorHAnsi" w:cstheme="minorHAnsi"/>
          <w:sz w:val="22"/>
          <w:szCs w:val="22"/>
        </w:rPr>
        <w:t xml:space="preserve"> led the committee's review of Case Management Services. CMS responds to students in crisis, developing individualized support plans that connect students to on-campus and community resources. Students may be referred for issues ranging from suicidal ideation and threatening behavior to housing instability and academic challenges. The unit serves both undergraduate and graduate students.</w:t>
      </w:r>
    </w:p>
    <w:p w14:paraId="79251E9F" w14:textId="77777777" w:rsidR="001137DF" w:rsidRPr="00914649" w:rsidRDefault="00927089" w:rsidP="00914649">
      <w:pPr>
        <w:spacing w:before="80" w:after="80"/>
        <w:rPr>
          <w:rFonts w:asciiTheme="minorHAnsi" w:hAnsiTheme="minorHAnsi" w:cstheme="minorHAnsi"/>
          <w:sz w:val="22"/>
          <w:szCs w:val="22"/>
        </w:rPr>
      </w:pPr>
      <w:r w:rsidRPr="00914649">
        <w:rPr>
          <w:rFonts w:asciiTheme="minorHAnsi" w:hAnsiTheme="minorHAnsi" w:cstheme="minorHAnsi"/>
          <w:sz w:val="22"/>
          <w:szCs w:val="22"/>
        </w:rPr>
        <w:t>CMS primarily uses permanent SSF funds for staffing, and has been working to convert contract case manager positions to permanent career status as bargaining unit agreements take effect. The committee noted some ambiguity in the unit's org chart regarding which positions are funded through permanent vs. temporary SSF, and whether certain positions listed as temporarily funded have already been converted. Advisor Wilson clarified that Student Affairs has received dispensation to use the large mental health (20002) carry-forward — accumulated in part from underspending during prior years — to support the permanentization of positions over the next several years, particularly in mental health-adjacent units like CMS.</w:t>
      </w:r>
    </w:p>
    <w:p w14:paraId="79251EA0" w14:textId="77777777" w:rsidR="001137DF" w:rsidRPr="00914649" w:rsidRDefault="00927089" w:rsidP="00914649">
      <w:pPr>
        <w:spacing w:before="80" w:after="80"/>
        <w:rPr>
          <w:rFonts w:asciiTheme="minorHAnsi" w:hAnsiTheme="minorHAnsi" w:cstheme="minorHAnsi"/>
          <w:sz w:val="22"/>
          <w:szCs w:val="22"/>
        </w:rPr>
      </w:pPr>
      <w:r w:rsidRPr="00914649">
        <w:rPr>
          <w:rFonts w:asciiTheme="minorHAnsi" w:hAnsiTheme="minorHAnsi" w:cstheme="minorHAnsi"/>
          <w:sz w:val="22"/>
          <w:szCs w:val="22"/>
        </w:rPr>
        <w:t>The trend report showed approximately $350,000 in temporary funding in FY 24–25, which the committee noted was not consistent with CMS's assertion that it had not received any temporary SSF approval. Advisor Wilson and Chair Mitra suggested this discrepancy may reflect benefits allocations, first-year conversion of permanent funds appearing as temporary, or CAPS-related 20002 funds. The committee agreed to ask CMS for clarification.</w:t>
      </w:r>
    </w:p>
    <w:p w14:paraId="79251EA1" w14:textId="77777777" w:rsidR="001137DF" w:rsidRPr="00914649" w:rsidRDefault="00927089" w:rsidP="00914649">
      <w:pPr>
        <w:spacing w:before="80" w:after="80"/>
        <w:rPr>
          <w:rFonts w:asciiTheme="minorHAnsi" w:hAnsiTheme="minorHAnsi" w:cstheme="minorHAnsi"/>
          <w:sz w:val="22"/>
          <w:szCs w:val="22"/>
        </w:rPr>
      </w:pPr>
      <w:r w:rsidRPr="00914649">
        <w:rPr>
          <w:rFonts w:asciiTheme="minorHAnsi" w:hAnsiTheme="minorHAnsi" w:cstheme="minorHAnsi"/>
          <w:sz w:val="22"/>
          <w:szCs w:val="22"/>
        </w:rPr>
        <w:t>The committee also raised concerns about staff retention: CMS reported that some case managers have left for positions at CAPS offering higher salaries, and the unit is uncertain how much salary increases from union agreements will cost. Follow-up questions include: clarification on what the temporary appropriation shown in the trend report consists of; how the unit plans to address salary competition and retention; and specifics on how temporary funding aligns with SSF guidelines per their unit review response.</w:t>
      </w:r>
    </w:p>
    <w:p w14:paraId="79251EA2"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4. Review – Center for Art and Performance (CAP)</w:t>
      </w:r>
    </w:p>
    <w:p w14:paraId="79251EA3"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 xml:space="preserve">Yiping Wang led the committee's review of the Center for Art and Performance (CAP). CAP is UCLA's professional performing arts presenting organization, bringing external artists to campus for public performances. Its primary intersection with SSF is through student-focused co-curricular programs: Arts in Action (free participatory workshops and master classes), the Student Passport Program (subsidized </w:t>
      </w:r>
      <w:r w:rsidRPr="00914649">
        <w:rPr>
          <w:rFonts w:asciiTheme="minorHAnsi" w:hAnsiTheme="minorHAnsi" w:cstheme="minorHAnsi"/>
          <w:sz w:val="22"/>
          <w:szCs w:val="22"/>
        </w:rPr>
        <w:lastRenderedPageBreak/>
        <w:t>ticket access for $20/year, with two free performances per quarter), and the Student Committee for the Arts (a group of approximately 30 students that advises on programming).</w:t>
      </w:r>
    </w:p>
    <w:p w14:paraId="79251EA4"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CAP does not receive temporary SSF funds, and its permanent SSF allocation — supporting portions of approximately 8 staff salaries — has been in place for over 15 years. SSF represents approximately 23% of CAP's total revenue. The unit reported no SSF carry-forward.</w:t>
      </w:r>
    </w:p>
    <w:p w14:paraId="79251EA5"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The committee raised substantive concerns about whether SSF is being used in alignment with student service fee guidelines. Key points of discussion included: SSF funds support portions of salaries for eight staff members — including a development director — but the development function primarily raises money from donors who, by CAP's own account, decline to fund student programs. The student-facing programming (Arts in Action and Passport) appears to be managed by a much smaller team, and it is not clear that all eight SSF-funded staff devote meaningful time to those programs. Additionally, the Arts in Action program may serve the general public as well as students, raising questions about whether SSF is partially subsidizing non-student activities.</w:t>
      </w:r>
    </w:p>
    <w:p w14:paraId="79251EA6" w14:textId="4BCD9748"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 xml:space="preserve">Advisor Wilson noted that when CAP </w:t>
      </w:r>
      <w:r w:rsidR="00914649" w:rsidRPr="00914649">
        <w:rPr>
          <w:rFonts w:asciiTheme="minorHAnsi" w:hAnsiTheme="minorHAnsi" w:cstheme="minorHAnsi"/>
          <w:sz w:val="22"/>
          <w:szCs w:val="22"/>
        </w:rPr>
        <w:t xml:space="preserve">asked for a unit review that covered all of their funding, not just temporary funding, they stated that they were not obligated to do so. They were informed otherwise. </w:t>
      </w:r>
      <w:r w:rsidRPr="00914649">
        <w:rPr>
          <w:rFonts w:asciiTheme="minorHAnsi" w:hAnsiTheme="minorHAnsi" w:cstheme="minorHAnsi"/>
          <w:sz w:val="22"/>
          <w:szCs w:val="22"/>
        </w:rPr>
        <w:t>The value of discounted tickets provided to students — while not easily reflected in a budget ledger — was estimated informally by the Central Ticket Office to be significantly less than the SSF allocation. The Student Committee for the Arts, which helps subsidize the Passport program, itself receives SSF funding, raising further questions about transparency.</w:t>
      </w:r>
    </w:p>
    <w:p w14:paraId="79251EA7"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The committee agreed to request that CAP appear before SFAC in spring quarter to provide detailed information on: what portion of each SSF-funded staff member's time is devoted to the two student-facing programs; the total value of student ticket subsidies and the number of student participants; how the student-facing programs are funded across multiple sources; and whether Arts in Action is exclusively for UCLA students.</w:t>
      </w:r>
    </w:p>
    <w:p w14:paraId="79251EA8"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 xml:space="preserve">5. Review – </w:t>
      </w:r>
      <w:proofErr w:type="spellStart"/>
      <w:r w:rsidRPr="00914649">
        <w:rPr>
          <w:rFonts w:asciiTheme="minorHAnsi" w:hAnsiTheme="minorHAnsi" w:cstheme="minorHAnsi"/>
          <w:b/>
          <w:bCs/>
          <w:sz w:val="22"/>
          <w:szCs w:val="22"/>
          <w:u w:val="single"/>
        </w:rPr>
        <w:t>BruinAccess</w:t>
      </w:r>
      <w:proofErr w:type="spellEnd"/>
    </w:p>
    <w:p w14:paraId="79251EA9"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 xml:space="preserve">Emily Kim led the committee's review of </w:t>
      </w:r>
      <w:proofErr w:type="spellStart"/>
      <w:r w:rsidRPr="00914649">
        <w:rPr>
          <w:rFonts w:asciiTheme="minorHAnsi" w:hAnsiTheme="minorHAnsi" w:cstheme="minorHAnsi"/>
          <w:sz w:val="22"/>
          <w:szCs w:val="22"/>
        </w:rPr>
        <w:t>BruinAccess</w:t>
      </w:r>
      <w:proofErr w:type="spellEnd"/>
      <w:r w:rsidRPr="00914649">
        <w:rPr>
          <w:rFonts w:asciiTheme="minorHAnsi" w:hAnsiTheme="minorHAnsi" w:cstheme="minorHAnsi"/>
          <w:sz w:val="22"/>
          <w:szCs w:val="22"/>
        </w:rPr>
        <w:t>, UCLA's complimentary, on-demand curb-to-curb paratransit service for students, faculty, and staff who qualify through CAE or Disability Management Services. The service operates on weekdays from 7:30 AM to midnight during the academic year, using electric vehicles.</w:t>
      </w:r>
    </w:p>
    <w:p w14:paraId="79251EAA" w14:textId="77777777" w:rsidR="001137DF" w:rsidRPr="00914649" w:rsidRDefault="00927089">
      <w:pPr>
        <w:spacing w:before="60" w:after="60"/>
        <w:rPr>
          <w:rFonts w:asciiTheme="minorHAnsi" w:hAnsiTheme="minorHAnsi" w:cstheme="minorHAnsi"/>
          <w:sz w:val="22"/>
          <w:szCs w:val="22"/>
        </w:rPr>
      </w:pPr>
      <w:proofErr w:type="spellStart"/>
      <w:r w:rsidRPr="00914649">
        <w:rPr>
          <w:rFonts w:asciiTheme="minorHAnsi" w:hAnsiTheme="minorHAnsi" w:cstheme="minorHAnsi"/>
          <w:sz w:val="22"/>
          <w:szCs w:val="22"/>
        </w:rPr>
        <w:t>BruinAccess</w:t>
      </w:r>
      <w:proofErr w:type="spellEnd"/>
      <w:r w:rsidRPr="00914649">
        <w:rPr>
          <w:rFonts w:asciiTheme="minorHAnsi" w:hAnsiTheme="minorHAnsi" w:cstheme="minorHAnsi"/>
          <w:sz w:val="22"/>
          <w:szCs w:val="22"/>
        </w:rPr>
        <w:t xml:space="preserve"> currently receives $100,000 in temporary SSF approved in FY 24–25, used to fund a general driver and a dispatch supervisor. The unit received a $257,403 Metro All-Access grant in 2023 that covered additional driver positions and vehicle expenses for 15 months. The unit did not submit a funding request this cycle.</w:t>
      </w:r>
    </w:p>
    <w:p w14:paraId="79251EAB"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 xml:space="preserve">The committee noted that </w:t>
      </w:r>
      <w:proofErr w:type="spellStart"/>
      <w:r w:rsidRPr="00914649">
        <w:rPr>
          <w:rFonts w:asciiTheme="minorHAnsi" w:hAnsiTheme="minorHAnsi" w:cstheme="minorHAnsi"/>
          <w:sz w:val="22"/>
          <w:szCs w:val="22"/>
        </w:rPr>
        <w:t>BruinAccess</w:t>
      </w:r>
      <w:proofErr w:type="spellEnd"/>
      <w:r w:rsidRPr="00914649">
        <w:rPr>
          <w:rFonts w:asciiTheme="minorHAnsi" w:hAnsiTheme="minorHAnsi" w:cstheme="minorHAnsi"/>
          <w:sz w:val="22"/>
          <w:szCs w:val="22"/>
        </w:rPr>
        <w:t xml:space="preserve"> is housed within Transportation, which is an auxiliary unit expected to be self-supporting, and that the unit's prior written communications with SFAC indicated reliance on parking revenue — a funding source not mentioned in the current unit review. There were also questions about whether faculty and staff use constitutes a meaningful proportion of ridership, and whether any cost-sharing with those populations occurs.</w:t>
      </w:r>
    </w:p>
    <w:p w14:paraId="79251EAC"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 xml:space="preserve">The committee discussed whether to pose follow-up questions, noting that doing so might implicitly invite a future funding request. After deliberation, the committee agreed to send a limited set of factual questions focused on funding sources and ridership composition, without encouraging a renewed request. Chair Mitra emphasized that prior SFAC letters to the Chancellor have made clear that SSF is not a sustainable long-term funding source for </w:t>
      </w:r>
      <w:proofErr w:type="spellStart"/>
      <w:r w:rsidRPr="00914649">
        <w:rPr>
          <w:rFonts w:asciiTheme="minorHAnsi" w:hAnsiTheme="minorHAnsi" w:cstheme="minorHAnsi"/>
          <w:sz w:val="22"/>
          <w:szCs w:val="22"/>
        </w:rPr>
        <w:t>BruinAccess</w:t>
      </w:r>
      <w:proofErr w:type="spellEnd"/>
      <w:r w:rsidRPr="00914649">
        <w:rPr>
          <w:rFonts w:asciiTheme="minorHAnsi" w:hAnsiTheme="minorHAnsi" w:cstheme="minorHAnsi"/>
          <w:sz w:val="22"/>
          <w:szCs w:val="22"/>
        </w:rPr>
        <w:t>.</w:t>
      </w:r>
    </w:p>
    <w:p w14:paraId="79251EAD"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6. Review – Bruin Resource Center (BRC)</w:t>
      </w:r>
    </w:p>
    <w:p w14:paraId="79251EAE"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lastRenderedPageBreak/>
        <w:t xml:space="preserve">Chair Mitra led the committee's review of the Bruin Resource Center (BRC), which supports students who are underserved by other campus units. BRC's six program areas serve foster youth, students experiencing </w:t>
      </w:r>
      <w:proofErr w:type="spellStart"/>
      <w:r w:rsidRPr="00914649">
        <w:rPr>
          <w:rFonts w:asciiTheme="minorHAnsi" w:hAnsiTheme="minorHAnsi" w:cstheme="minorHAnsi"/>
          <w:sz w:val="22"/>
          <w:szCs w:val="22"/>
        </w:rPr>
        <w:t>houselessness</w:t>
      </w:r>
      <w:proofErr w:type="spellEnd"/>
      <w:r w:rsidRPr="00914649">
        <w:rPr>
          <w:rFonts w:asciiTheme="minorHAnsi" w:hAnsiTheme="minorHAnsi" w:cstheme="minorHAnsi"/>
          <w:sz w:val="22"/>
          <w:szCs w:val="22"/>
        </w:rPr>
        <w:t>, students in recovery, formerly incarcerated or system-impacted students, students with dependents, undocumented students, and neurodivergent students.</w:t>
      </w:r>
    </w:p>
    <w:p w14:paraId="79251EAF"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BRC receives approximately $700,000 in permanent SSF and approximately $270,000–$380,000 in temporary SSF (the range reflecting how benefits appear in budget documents), for a total of approximately $1.1 million. Most funding goes to staff salaries. BRC reported a carry-forward of approximately $350,000 at the end of FY 24–25, attributed to staff vacancies, donor and grant funding received during the year, and savings from work-study hiring. BRC stated it plans to use the carry-forward to expand programming, though specific plans were not detailed.</w:t>
      </w:r>
    </w:p>
    <w:p w14:paraId="79251EB0"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The committee discussed the org chart, which distinguishes "SSF-funded" from "SFAC-funded" positions. The committee noted confusion about whether this terminology reflects permanent vs. temporary funding. Historical approval tables suggested two positions — the Assistant Program Director for Students with Dependents and the Assistant Program Director for Collegiate Recovery — were previously funded through temporary SSF. Advisor Wilson clarified that these positions are now permanently funded, and that BRC's current challenge is managing that permanent allocation carefully as union-negotiated salary increases take effect.</w:t>
      </w:r>
    </w:p>
    <w:p w14:paraId="79251EB1"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BRC's other funding sources include state-allocated UCOP funds, donor funds, and grants. SSF represents approximately 30% of BRC's total non-curricular student services funding. The committee expressed strong support for BRC's mission and asked follow-up questions on: what specific programming is planned using the carry-forward; clarification on org chart funding designations; and how BRC plans to sustain the two program director positions under permanent SSF as salary costs increase.</w:t>
      </w:r>
    </w:p>
    <w:p w14:paraId="79251EB2"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7. SSF Funding Request Sheet</w:t>
      </w:r>
    </w:p>
    <w:p w14:paraId="79251EB3"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Advisor Wilson shared the compiled SSF funding request spreadsheet, which consolidates all temporary funding requests for FY 27–28 submitted by Student Affairs and other units. The committee was advised that APB has confirmed no new temporary funding is available for FY 26–27, and approximately $500,000 is available for FY 27–28. All members were asked to download the spreadsheet, fill in their individual funding recommendations (columns L and M) and justification notes, and return it to Chair Mitra by Week 11 — the end of winter quarter.</w:t>
      </w:r>
    </w:p>
    <w:p w14:paraId="79251EB4"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Advisor Wilson explained that some historical funding amounts in the spreadsheet had been corrected and that she would continue to refine the data, particularly for units whose requests have changed significantly year to year. Members were encouraged to review prior approval tables when making their recommendations, and to think in terms of priorities and rationale rather than exact line-item allocations. The committee will discuss individual recommendations collectively at the start of spring quarter.</w:t>
      </w:r>
    </w:p>
    <w:p w14:paraId="79251EB5"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Closing Business</w:t>
      </w:r>
    </w:p>
    <w:p w14:paraId="79251EB6"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Chair Mitra noted that responses to unit follow-up questions are being collected and will be added to the shared question sheet on Box as they are received. Members were reminded to upload their unit review presentations to Box.</w:t>
      </w:r>
    </w:p>
    <w:p w14:paraId="79251EB7" w14:textId="77777777" w:rsidR="001137DF" w:rsidRPr="00914649" w:rsidRDefault="00927089">
      <w:pPr>
        <w:spacing w:before="200" w:after="80"/>
        <w:rPr>
          <w:rFonts w:asciiTheme="minorHAnsi" w:hAnsiTheme="minorHAnsi" w:cstheme="minorHAnsi"/>
          <w:sz w:val="22"/>
          <w:szCs w:val="22"/>
        </w:rPr>
      </w:pPr>
      <w:r w:rsidRPr="00914649">
        <w:rPr>
          <w:rFonts w:asciiTheme="minorHAnsi" w:hAnsiTheme="minorHAnsi" w:cstheme="minorHAnsi"/>
          <w:b/>
          <w:bCs/>
          <w:sz w:val="22"/>
          <w:szCs w:val="22"/>
          <w:u w:val="single"/>
        </w:rPr>
        <w:t>Adjournment</w:t>
      </w:r>
    </w:p>
    <w:p w14:paraId="79251EB8" w14:textId="77777777" w:rsidR="001137DF" w:rsidRPr="00914649" w:rsidRDefault="00927089">
      <w:pPr>
        <w:spacing w:before="60" w:after="60"/>
        <w:rPr>
          <w:rFonts w:asciiTheme="minorHAnsi" w:hAnsiTheme="minorHAnsi" w:cstheme="minorHAnsi"/>
          <w:sz w:val="22"/>
          <w:szCs w:val="22"/>
        </w:rPr>
      </w:pPr>
      <w:r w:rsidRPr="00914649">
        <w:rPr>
          <w:rFonts w:asciiTheme="minorHAnsi" w:hAnsiTheme="minorHAnsi" w:cstheme="minorHAnsi"/>
          <w:sz w:val="22"/>
          <w:szCs w:val="22"/>
        </w:rPr>
        <w:t>Chair Sanjali Mitra adjourned the meeting at approximately 11:02 AM.</w:t>
      </w:r>
    </w:p>
    <w:sectPr w:rsidR="001137DF" w:rsidRPr="0091464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E64F8"/>
    <w:multiLevelType w:val="hybridMultilevel"/>
    <w:tmpl w:val="89FE5DEC"/>
    <w:lvl w:ilvl="0" w:tplc="B1CA2EEA">
      <w:start w:val="1"/>
      <w:numFmt w:val="bullet"/>
      <w:lvlText w:val="●"/>
      <w:lvlJc w:val="left"/>
      <w:pPr>
        <w:ind w:left="720" w:hanging="360"/>
      </w:pPr>
    </w:lvl>
    <w:lvl w:ilvl="1" w:tplc="46CC6A6C">
      <w:start w:val="1"/>
      <w:numFmt w:val="bullet"/>
      <w:lvlText w:val="○"/>
      <w:lvlJc w:val="left"/>
      <w:pPr>
        <w:ind w:left="1440" w:hanging="360"/>
      </w:pPr>
    </w:lvl>
    <w:lvl w:ilvl="2" w:tplc="1EFE5558">
      <w:start w:val="1"/>
      <w:numFmt w:val="bullet"/>
      <w:lvlText w:val="■"/>
      <w:lvlJc w:val="left"/>
      <w:pPr>
        <w:ind w:left="2160" w:hanging="360"/>
      </w:pPr>
    </w:lvl>
    <w:lvl w:ilvl="3" w:tplc="ACC20DE8">
      <w:start w:val="1"/>
      <w:numFmt w:val="bullet"/>
      <w:lvlText w:val="●"/>
      <w:lvlJc w:val="left"/>
      <w:pPr>
        <w:ind w:left="2880" w:hanging="360"/>
      </w:pPr>
    </w:lvl>
    <w:lvl w:ilvl="4" w:tplc="EF76305A">
      <w:start w:val="1"/>
      <w:numFmt w:val="bullet"/>
      <w:lvlText w:val="○"/>
      <w:lvlJc w:val="left"/>
      <w:pPr>
        <w:ind w:left="3600" w:hanging="360"/>
      </w:pPr>
    </w:lvl>
    <w:lvl w:ilvl="5" w:tplc="79287AD6">
      <w:start w:val="1"/>
      <w:numFmt w:val="bullet"/>
      <w:lvlText w:val="■"/>
      <w:lvlJc w:val="left"/>
      <w:pPr>
        <w:ind w:left="4320" w:hanging="360"/>
      </w:pPr>
    </w:lvl>
    <w:lvl w:ilvl="6" w:tplc="04022530">
      <w:start w:val="1"/>
      <w:numFmt w:val="bullet"/>
      <w:lvlText w:val="●"/>
      <w:lvlJc w:val="left"/>
      <w:pPr>
        <w:ind w:left="5040" w:hanging="360"/>
      </w:pPr>
    </w:lvl>
    <w:lvl w:ilvl="7" w:tplc="0066BB5E">
      <w:start w:val="1"/>
      <w:numFmt w:val="bullet"/>
      <w:lvlText w:val="●"/>
      <w:lvlJc w:val="left"/>
      <w:pPr>
        <w:ind w:left="5760" w:hanging="360"/>
      </w:pPr>
    </w:lvl>
    <w:lvl w:ilvl="8" w:tplc="B3B2428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DF"/>
    <w:rsid w:val="001137DF"/>
    <w:rsid w:val="00914649"/>
    <w:rsid w:val="00927089"/>
    <w:rsid w:val="00F2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1E75"/>
  <w15:docId w15:val="{B7C18D52-CBDC-478C-B9DC-F21A2543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8601AF7F-BD82-4CFE-9DA1-B2BC33E9C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83195-9C9A-4C48-8DAC-A4AFAF935514}">
  <ds:schemaRefs>
    <ds:schemaRef ds:uri="http://schemas.microsoft.com/sharepoint/v3/contenttype/forms"/>
  </ds:schemaRefs>
</ds:datastoreItem>
</file>

<file path=customXml/itemProps3.xml><?xml version="1.0" encoding="utf-8"?>
<ds:datastoreItem xmlns:ds="http://schemas.openxmlformats.org/officeDocument/2006/customXml" ds:itemID="{4077BD49-A596-4610-B76D-1CC21015029B}">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75d5f0e9-6578-4a78-b477-b96d28847dce"/>
    <ds:schemaRef ds:uri="d17a9ae8-130e-4057-b251-18a7d7ce0c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Wilson, Christine</cp:lastModifiedBy>
  <cp:revision>2</cp:revision>
  <dcterms:created xsi:type="dcterms:W3CDTF">2026-05-22T18:49:00Z</dcterms:created>
  <dcterms:modified xsi:type="dcterms:W3CDTF">2026-05-22T18:49:00Z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