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48F54" w14:textId="77777777" w:rsidR="00121D10" w:rsidRPr="00DF3413" w:rsidRDefault="00843473" w:rsidP="00FE13C5">
      <w:pPr>
        <w:spacing w:after="40"/>
        <w:jc w:val="center"/>
        <w:rPr>
          <w:rFonts w:asciiTheme="minorHAnsi" w:hAnsiTheme="minorHAnsi" w:cstheme="minorHAnsi"/>
          <w:sz w:val="22"/>
          <w:szCs w:val="22"/>
        </w:rPr>
      </w:pPr>
      <w:r>
        <w:rPr>
          <w:rFonts w:asciiTheme="minorHAnsi" w:hAnsiTheme="minorHAnsi" w:cstheme="minorHAnsi"/>
          <w:b/>
          <w:bCs/>
          <w:sz w:val="22"/>
          <w:szCs w:val="22"/>
        </w:rPr>
        <w:t>STUDENT FEE ADVISORY COMMITTEE (SFAC)</w:t>
      </w:r>
    </w:p>
    <w:p w14:paraId="38F48F55" w14:textId="77777777" w:rsidR="00121D10" w:rsidRPr="00DF3413" w:rsidRDefault="00843473" w:rsidP="00FE13C5">
      <w:pPr>
        <w:spacing w:after="40"/>
        <w:jc w:val="center"/>
        <w:rPr>
          <w:rFonts w:asciiTheme="minorHAnsi" w:hAnsiTheme="minorHAnsi" w:cstheme="minorHAnsi"/>
          <w:sz w:val="22"/>
          <w:szCs w:val="22"/>
        </w:rPr>
      </w:pPr>
      <w:r>
        <w:rPr>
          <w:rFonts w:asciiTheme="minorHAnsi" w:hAnsiTheme="minorHAnsi" w:cstheme="minorHAnsi"/>
          <w:b/>
          <w:bCs/>
          <w:sz w:val="22"/>
          <w:szCs w:val="22"/>
        </w:rPr>
        <w:t>Week 10 – Winter Quarter Meeting</w:t>
      </w:r>
    </w:p>
    <w:p w14:paraId="38F48F56" w14:textId="77777777" w:rsidR="00121D10" w:rsidRPr="00DF3413" w:rsidRDefault="00843473" w:rsidP="00FE13C5">
      <w:pPr>
        <w:spacing w:after="40"/>
        <w:jc w:val="center"/>
        <w:rPr>
          <w:rFonts w:asciiTheme="minorHAnsi" w:hAnsiTheme="minorHAnsi" w:cstheme="minorHAnsi"/>
          <w:sz w:val="22"/>
          <w:szCs w:val="22"/>
        </w:rPr>
      </w:pPr>
      <w:r>
        <w:rPr>
          <w:rFonts w:asciiTheme="minorHAnsi" w:hAnsiTheme="minorHAnsi" w:cstheme="minorHAnsi"/>
          <w:b/>
          <w:bCs/>
          <w:sz w:val="22"/>
          <w:szCs w:val="22"/>
        </w:rPr>
        <w:t>Thursday, March 12, 2026</w:t>
      </w:r>
    </w:p>
    <w:p w14:paraId="38F48F57" w14:textId="77777777" w:rsidR="00121D10" w:rsidRPr="00DF3413" w:rsidRDefault="00843473" w:rsidP="00FE13C5">
      <w:pPr>
        <w:spacing w:after="40"/>
        <w:jc w:val="center"/>
        <w:rPr>
          <w:rFonts w:asciiTheme="minorHAnsi" w:hAnsiTheme="minorHAnsi" w:cstheme="minorHAnsi"/>
          <w:sz w:val="22"/>
          <w:szCs w:val="22"/>
        </w:rPr>
      </w:pPr>
      <w:r>
        <w:rPr>
          <w:rFonts w:asciiTheme="minorHAnsi" w:hAnsiTheme="minorHAnsi" w:cstheme="minorHAnsi"/>
          <w:b/>
          <w:bCs/>
          <w:sz w:val="22"/>
          <w:szCs w:val="22"/>
        </w:rPr>
        <w:t>Location: Zoom</w:t>
      </w:r>
    </w:p>
    <w:p w14:paraId="38F48F58" w14:textId="77777777" w:rsidR="00121D10" w:rsidRPr="00DF3413" w:rsidRDefault="00843473" w:rsidP="00FE13C5">
      <w:pPr>
        <w:spacing w:after="40"/>
        <w:jc w:val="center"/>
        <w:rPr>
          <w:rFonts w:asciiTheme="minorHAnsi" w:hAnsiTheme="minorHAnsi" w:cstheme="minorHAnsi"/>
          <w:sz w:val="22"/>
          <w:szCs w:val="22"/>
        </w:rPr>
      </w:pPr>
      <w:r>
        <w:rPr>
          <w:rFonts w:asciiTheme="minorHAnsi" w:hAnsiTheme="minorHAnsi" w:cstheme="minorHAnsi"/>
          <w:b/>
          <w:bCs/>
          <w:sz w:val="22"/>
          <w:szCs w:val="22"/>
        </w:rPr>
        <w:t>Time: 9:00 AM – 11:00 AM</w:t>
      </w:r>
    </w:p>
    <w:p w14:paraId="38F48F59"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Attendance</w:t>
      </w:r>
    </w:p>
    <w:p w14:paraId="38F48F5A" w14:textId="77777777" w:rsidR="00121D10" w:rsidRPr="00DF3413" w:rsidRDefault="00843473">
      <w:pPr>
        <w:spacing w:before="60" w:after="60"/>
        <w:rPr>
          <w:rFonts w:asciiTheme="minorHAnsi" w:hAnsiTheme="minorHAnsi" w:cstheme="minorHAnsi"/>
          <w:i/>
          <w:sz w:val="22"/>
          <w:szCs w:val="22"/>
        </w:rPr>
      </w:pPr>
      <w:r>
        <w:rPr>
          <w:rFonts w:asciiTheme="minorHAnsi" w:hAnsiTheme="minorHAnsi" w:cstheme="minorHAnsi"/>
          <w:b/>
          <w:bCs/>
          <w:i/>
          <w:sz w:val="22"/>
          <w:szCs w:val="22"/>
        </w:rPr>
        <w:t>Present</w:t>
      </w:r>
    </w:p>
    <w:p w14:paraId="38F48F5B"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Graduate Students: </w:t>
      </w:r>
      <w:r>
        <w:rPr>
          <w:rFonts w:asciiTheme="minorHAnsi" w:hAnsiTheme="minorHAnsi" w:cstheme="minorHAnsi"/>
          <w:sz w:val="22"/>
          <w:szCs w:val="22"/>
        </w:rPr>
        <w:t>Chair Sanjali Mitra; Christina Chance</w:t>
      </w:r>
    </w:p>
    <w:p w14:paraId="38F48F5C"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Undergraduate Students: </w:t>
      </w:r>
      <w:r>
        <w:rPr>
          <w:rFonts w:asciiTheme="minorHAnsi" w:hAnsiTheme="minorHAnsi" w:cstheme="minorHAnsi"/>
          <w:sz w:val="22"/>
          <w:szCs w:val="22"/>
        </w:rPr>
        <w:t>Mehreen Suzaan</w:t>
      </w:r>
    </w:p>
    <w:p w14:paraId="38F48F5D"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Administrators: </w:t>
      </w:r>
      <w:r>
        <w:rPr>
          <w:rFonts w:asciiTheme="minorHAnsi" w:hAnsiTheme="minorHAnsi" w:cstheme="minorHAnsi"/>
          <w:sz w:val="22"/>
          <w:szCs w:val="22"/>
        </w:rPr>
        <w:t>Karen Hedges</w:t>
      </w:r>
    </w:p>
    <w:p w14:paraId="38F48F5E"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Advisor: </w:t>
      </w:r>
      <w:r>
        <w:rPr>
          <w:rFonts w:asciiTheme="minorHAnsi" w:hAnsiTheme="minorHAnsi" w:cstheme="minorHAnsi"/>
          <w:sz w:val="22"/>
          <w:szCs w:val="22"/>
        </w:rPr>
        <w:t>Christine Wilson</w:t>
      </w:r>
    </w:p>
    <w:p w14:paraId="5A6AC556" w14:textId="77777777" w:rsidR="00DF3413" w:rsidRPr="00DF3413" w:rsidRDefault="00DF3413">
      <w:pPr>
        <w:spacing w:before="60" w:after="60"/>
        <w:rPr>
          <w:rFonts w:asciiTheme="minorHAnsi" w:hAnsiTheme="minorHAnsi" w:cstheme="minorHAnsi"/>
          <w:b/>
          <w:bCs/>
          <w:sz w:val="22"/>
          <w:szCs w:val="22"/>
        </w:rPr>
      </w:pPr>
    </w:p>
    <w:p w14:paraId="38F48F5F" w14:textId="2F89F438" w:rsidR="00121D10" w:rsidRPr="00DF3413" w:rsidRDefault="00843473">
      <w:pPr>
        <w:spacing w:before="60" w:after="60"/>
        <w:rPr>
          <w:rFonts w:asciiTheme="minorHAnsi" w:hAnsiTheme="minorHAnsi" w:cstheme="minorHAnsi"/>
          <w:i/>
          <w:sz w:val="22"/>
          <w:szCs w:val="22"/>
        </w:rPr>
      </w:pPr>
      <w:r>
        <w:rPr>
          <w:rFonts w:asciiTheme="minorHAnsi" w:hAnsiTheme="minorHAnsi" w:cstheme="minorHAnsi"/>
          <w:b/>
          <w:bCs/>
          <w:i/>
          <w:sz w:val="22"/>
          <w:szCs w:val="22"/>
        </w:rPr>
        <w:t>Not Present</w:t>
      </w:r>
    </w:p>
    <w:p w14:paraId="38F48F60"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Graduate Students: </w:t>
      </w:r>
      <w:r>
        <w:rPr>
          <w:rFonts w:asciiTheme="minorHAnsi" w:hAnsiTheme="minorHAnsi" w:cstheme="minorHAnsi"/>
          <w:sz w:val="22"/>
          <w:szCs w:val="22"/>
        </w:rPr>
        <w:t>Yiping Wang; Pratik Manwani</w:t>
      </w:r>
    </w:p>
    <w:p w14:paraId="38F48F61"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Undergraduate Students: </w:t>
      </w:r>
      <w:r>
        <w:rPr>
          <w:rFonts w:asciiTheme="minorHAnsi" w:hAnsiTheme="minorHAnsi" w:cstheme="minorHAnsi"/>
          <w:sz w:val="22"/>
          <w:szCs w:val="22"/>
        </w:rPr>
        <w:t>Vice Chair Allston Liu; Emily Kim; Flo Cudal</w:t>
      </w:r>
    </w:p>
    <w:p w14:paraId="38F48F62" w14:textId="77777777" w:rsidR="00121D10" w:rsidRPr="00DF3413" w:rsidRDefault="00843473" w:rsidP="00DF3413">
      <w:pPr>
        <w:spacing w:before="20" w:after="20"/>
        <w:rPr>
          <w:rFonts w:asciiTheme="minorHAnsi" w:hAnsiTheme="minorHAnsi" w:cstheme="minorHAnsi"/>
          <w:sz w:val="22"/>
          <w:szCs w:val="22"/>
        </w:rPr>
      </w:pPr>
      <w:r>
        <w:rPr>
          <w:rFonts w:asciiTheme="minorHAnsi" w:hAnsiTheme="minorHAnsi" w:cstheme="minorHAnsi"/>
          <w:b/>
          <w:bCs/>
          <w:sz w:val="22"/>
          <w:szCs w:val="22"/>
        </w:rPr>
        <w:t xml:space="preserve">Administrators: </w:t>
      </w:r>
      <w:r>
        <w:rPr>
          <w:rFonts w:asciiTheme="minorHAnsi" w:hAnsiTheme="minorHAnsi" w:cstheme="minorHAnsi"/>
          <w:sz w:val="22"/>
          <w:szCs w:val="22"/>
        </w:rPr>
        <w:t>Erinn McMahan</w:t>
      </w:r>
    </w:p>
    <w:p w14:paraId="38F48F63"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Note</w:t>
      </w:r>
    </w:p>
    <w:p w14:paraId="38F48F64"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did not have quorum at the start of the meeting and the agenda was not formally approved. The meeting proceeded with informational discussion. Guests from Early Care and Education (ECE) joined as scheduled.</w:t>
      </w:r>
    </w:p>
    <w:p w14:paraId="38F48F65"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Agenda</w:t>
      </w:r>
    </w:p>
    <w:p w14:paraId="38F48F66"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1. Approval of the Agenda</w:t>
      </w:r>
    </w:p>
    <w:p w14:paraId="38F48F67"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2. Discussion with ECE — SSF Fund Usage and Funding Request</w:t>
      </w:r>
    </w:p>
    <w:p w14:paraId="38F48F68" w14:textId="47176901"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3. Q&amp;A: Filling out Your Funding Allocation Sheet</w:t>
      </w:r>
    </w:p>
    <w:p w14:paraId="38F48F69" w14:textId="646A4921"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4. Review OTC (Office of Technology Center)</w:t>
      </w:r>
    </w:p>
    <w:p w14:paraId="38F48F6A"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5. Review DOS (Dean of Students)</w:t>
      </w:r>
    </w:p>
    <w:p w14:paraId="38F48F6B"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6. Review Student Legal Services</w:t>
      </w:r>
    </w:p>
    <w:p w14:paraId="38F48F6C"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7. Review First to Go</w:t>
      </w:r>
    </w:p>
    <w:p w14:paraId="38F48F6D"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Call to Order</w:t>
      </w:r>
    </w:p>
    <w:p w14:paraId="38F48F6E"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Sanjali Mitra called the meeting to order at approximately 9:00 AM. Quorum was not confirmed at the outset; the committee proceeded without a formal agenda approval.</w:t>
      </w:r>
    </w:p>
    <w:p w14:paraId="38F48F6F"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2. Discussion with ECE — Early Care and Education</w:t>
      </w:r>
    </w:p>
    <w:p w14:paraId="38F48F70"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Guests from Early Care and Education — the Executive Director and the Business Operations Manager — joined the meeting to discuss the unit's SSF funding and funding request for FY 26–27 and FY 27–28. The committee reviewed financial tables that ECE had submitted in response to prior follow-up questions.</w:t>
      </w:r>
    </w:p>
    <w:p w14:paraId="605BFA50" w14:textId="77777777" w:rsidR="00DF3413" w:rsidRDefault="00DF3413">
      <w:pPr>
        <w:spacing w:before="60" w:after="60"/>
        <w:rPr>
          <w:rFonts w:asciiTheme="minorHAnsi" w:hAnsiTheme="minorHAnsi" w:cstheme="minorHAnsi"/>
          <w:b/>
          <w:bCs/>
          <w:sz w:val="22"/>
          <w:szCs w:val="22"/>
        </w:rPr>
      </w:pPr>
    </w:p>
    <w:p w14:paraId="38F48F71" w14:textId="439EB2CB" w:rsidR="00121D10" w:rsidRPr="00DF3413" w:rsidRDefault="00843473">
      <w:pPr>
        <w:spacing w:before="60" w:after="60"/>
        <w:rPr>
          <w:rFonts w:asciiTheme="minorHAnsi" w:hAnsiTheme="minorHAnsi" w:cstheme="minorHAnsi"/>
          <w:sz w:val="22"/>
          <w:szCs w:val="22"/>
        </w:rPr>
      </w:pPr>
      <w:r>
        <w:rPr>
          <w:rFonts w:asciiTheme="minorHAnsi" w:hAnsiTheme="minorHAnsi" w:cstheme="minorHAnsi"/>
          <w:b/>
          <w:bCs/>
          <w:sz w:val="22"/>
          <w:szCs w:val="22"/>
        </w:rPr>
        <w:t>SSF Gap Funding and True Cost of Care:</w:t>
      </w:r>
    </w:p>
    <w:p w14:paraId="38F48F72" w14:textId="59F95AE0"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 xml:space="preserve">ECE explained that state subsidies (California Department of Education and Social Services grants) do not fully cover the cost of providing childcare to children of parenting students in subsidized spaces. For </w:t>
      </w:r>
      <w:r>
        <w:rPr>
          <w:rFonts w:asciiTheme="minorHAnsi" w:hAnsiTheme="minorHAnsi" w:cstheme="minorHAnsi"/>
          <w:sz w:val="22"/>
          <w:szCs w:val="22"/>
        </w:rPr>
        <w:lastRenderedPageBreak/>
        <w:t>infants (ages 2–23 months), the full cost of care is approximately $5,000 per month per child, while the projected full tuition rate is approximately $3,800 and the state subsidy typically covers around $3,000. The gap — approximately $800 per child per month — represents the portion ECE needs to cover from other sources, including SSF.</w:t>
      </w:r>
      <w:r>
        <w:rPr>
          <w:rFonts w:asciiTheme="minorHAnsi" w:hAnsiTheme="minorHAnsi" w:cstheme="minorHAnsi"/>
          <w:sz w:val="22"/>
          <w:szCs w:val="22"/>
        </w:rPr>
        <w:br/>
      </w:r>
    </w:p>
    <w:p w14:paraId="38F48F73" w14:textId="73C14ECF"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ECE projected a total gap of approximately $515,000 for FY 26–27 across all subsidized spaces and age groups. The committee noted that ECE already receives approximately $430,000 annually through existing permanent and temporary-continuing SSF allocations, and that together with the $514,000 in additional temporary SSF requested, the total SSF support would significantly exceed the identified gap. The Business Operations Manager clarified that the true cost of care — encompassing staff salaries, food, diapers, formula, and other supplies — exceeds the tuition amounts shown in the tables, which was the basis for requesting additional support. The $430,000 in existing SSF does not cover all of these costs, particularly as enrollment in subsidized spaces grows and costs increase.</w:t>
      </w:r>
      <w:r>
        <w:rPr>
          <w:rFonts w:asciiTheme="minorHAnsi" w:hAnsiTheme="minorHAnsi" w:cstheme="minorHAnsi"/>
          <w:sz w:val="22"/>
          <w:szCs w:val="22"/>
        </w:rPr>
        <w:br/>
      </w:r>
    </w:p>
    <w:p w14:paraId="38F48F74"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b/>
          <w:bCs/>
          <w:sz w:val="22"/>
          <w:szCs w:val="22"/>
        </w:rPr>
        <w:t>4-Year-Old Enrollment and LAUSD Transitional Kindergarten:</w:t>
      </w:r>
    </w:p>
    <w:p w14:paraId="38F48F75" w14:textId="7F175E1E" w:rsidR="00121D10" w:rsidRPr="00DF3413" w:rsidRDefault="00DF3413">
      <w:pPr>
        <w:spacing w:before="60" w:after="60"/>
        <w:rPr>
          <w:rFonts w:asciiTheme="minorHAnsi" w:hAnsiTheme="minorHAnsi" w:cstheme="minorHAnsi"/>
          <w:sz w:val="22"/>
          <w:szCs w:val="22"/>
        </w:rPr>
      </w:pPr>
      <w:r>
        <w:rPr>
          <w:rFonts w:asciiTheme="minorHAnsi" w:hAnsiTheme="minorHAnsi" w:cstheme="minorHAnsi"/>
          <w:sz w:val="22"/>
          <w:szCs w:val="22"/>
        </w:rPr>
        <w:t>The Business Operations Manager was asked whether LAUSD's expansion of free full-day Transitional Kindergarten (TK) for 4-year-olds has affected ECE's enrollment. The Business Operations Manager confirmed that ECE has struggled to retain 4-year-olds, as families can now access free, age-appropriate care through LAUSD with wraparound services. While this improves access for parenting students generally, it results in fewer families choosing ECE for 4-year-olds, which affects the state contract revenue ECE receives per enrolled child.</w:t>
      </w:r>
    </w:p>
    <w:p w14:paraId="36B75400" w14:textId="1BDD568E" w:rsidR="00DF3413" w:rsidRPr="00DF3413" w:rsidRDefault="00DF3413">
      <w:pPr>
        <w:spacing w:before="60" w:after="60"/>
        <w:rPr>
          <w:rFonts w:asciiTheme="minorHAnsi" w:hAnsiTheme="minorHAnsi" w:cstheme="minorHAnsi"/>
          <w:sz w:val="22"/>
          <w:szCs w:val="22"/>
        </w:rPr>
      </w:pPr>
      <w:r>
        <w:rPr>
          <w:rFonts w:asciiTheme="minorHAnsi" w:hAnsiTheme="minorHAnsi" w:cstheme="minorHAnsi"/>
          <w:sz w:val="22"/>
          <w:szCs w:val="22"/>
        </w:rPr>
        <w:t>It was noted that ECE, as a private childcare provider, contracts with the state for a specified number of subsidized spots by age group, and could theoretically adjust how many older-age spots it contracts for. She and the committee discussed the equity implications of the waiting list — approximately 400 families — and that parenting students who do not get off the waitlist can access the state subsidy elsewhere, but there do receive student services fees that might help them find high quality child care near their home or school.</w:t>
      </w:r>
    </w:p>
    <w:p w14:paraId="38F48F77"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b/>
          <w:bCs/>
          <w:sz w:val="22"/>
          <w:szCs w:val="22"/>
        </w:rPr>
        <w:t>Community Members and Differential Tuition:</w:t>
      </w:r>
    </w:p>
    <w:p w14:paraId="38F48F78"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Mitra noted that ECE also serves community members (non-UCLA-affiliated families) and asked whether the committee had considered raising tuition rates for that group to offset the gap. The Business Operations Manager confirmed that ECE had previously proposed a larger differential between affiliated and community rates but was directed by organizational leadership not to widen it significantly. ECE does not receive support from the School of Education and operates as a largely self-sustaining unit.</w:t>
      </w:r>
    </w:p>
    <w:p w14:paraId="38F48F79"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b/>
          <w:bCs/>
          <w:sz w:val="22"/>
          <w:szCs w:val="22"/>
        </w:rPr>
        <w:t>Parenting Student Data:</w:t>
      </w:r>
    </w:p>
    <w:p w14:paraId="588C0582" w14:textId="6A4DBC70" w:rsidR="00DF3413"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Mitra asked whether ECE could provide data on how many parenting students at UCLA seek ECE services. The Business Operations Manager indicated the enrollment coordinator was unavailable that day but committed to following up within a day or two with data on how many parenting students appear on the waitlist. It was noted that the Registrar's Office will begin tracking parenting student status beginning next year, and that the BRC Students with Dependents program estimated there are approximately 800 parenting students at UCLA based on past surveys, though the age of their children was not tracked.</w:t>
      </w:r>
      <w:r w:rsidR="00FE13C5">
        <w:rPr>
          <w:rFonts w:asciiTheme="minorHAnsi" w:hAnsiTheme="minorHAnsi" w:cstheme="minorHAnsi"/>
          <w:sz w:val="22"/>
          <w:szCs w:val="22"/>
        </w:rPr>
        <w:br/>
      </w:r>
      <w:bookmarkStart w:id="0" w:name="_GoBack"/>
      <w:bookmarkEnd w:id="0"/>
    </w:p>
    <w:p w14:paraId="38F48F7B"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b/>
          <w:bCs/>
          <w:sz w:val="22"/>
          <w:szCs w:val="22"/>
        </w:rPr>
        <w:t>Referrals for Students Not Served by ECE:</w:t>
      </w:r>
    </w:p>
    <w:p w14:paraId="38F48F7C"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 xml:space="preserve">The Business Operations Manager described ECE's partnership with the Students with Dependents program at BRC and with community referral agencies — including Connections for Children and Crystal </w:t>
      </w:r>
      <w:r>
        <w:rPr>
          <w:rFonts w:asciiTheme="minorHAnsi" w:hAnsiTheme="minorHAnsi" w:cstheme="minorHAnsi"/>
          <w:sz w:val="22"/>
          <w:szCs w:val="22"/>
        </w:rPr>
        <w:lastRenderedPageBreak/>
        <w:t>Stairs — to connect families who cannot access ECE with alternative childcare. ECE's enrollment coordinator plays an active role in these referrals.</w:t>
      </w:r>
    </w:p>
    <w:p w14:paraId="38F48F7D"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thanked ECE representatives for attending and for their detailed responses. Chair Mitra noted the committee will follow up in writing regarding whether the state grant eligibility would be affected if ECE reduced its contracts for older-age subsidized spaces.</w:t>
      </w:r>
    </w:p>
    <w:p w14:paraId="38F48F7E"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3. Q&amp;A: Funding Allocation Sheet</w:t>
      </w:r>
    </w:p>
    <w:p w14:paraId="38F48F7F" w14:textId="132DCB12"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Mitra briefly reviewed the status of the funding allocation spreadsheet and noted that a column reflecting amounts already allocated for FY 26–27 had been added, which was particularly relevant for units such as ECE, the Marching Band, and Bruin Corps that had received prior-year approvals but were requesting additional funds. The committee was reminded that these units are not duplicating their requests, but seeking incremental additional support.</w:t>
      </w:r>
    </w:p>
    <w:p w14:paraId="38F48F80" w14:textId="1F6012BA" w:rsidR="00121D10" w:rsidRPr="00DF3413" w:rsidRDefault="00DF3413">
      <w:pPr>
        <w:spacing w:before="60" w:after="60"/>
        <w:rPr>
          <w:rFonts w:asciiTheme="minorHAnsi" w:hAnsiTheme="minorHAnsi" w:cstheme="minorHAnsi"/>
          <w:sz w:val="22"/>
          <w:szCs w:val="22"/>
        </w:rPr>
      </w:pPr>
      <w:r>
        <w:rPr>
          <w:rFonts w:asciiTheme="minorHAnsi" w:hAnsiTheme="minorHAnsi" w:cstheme="minorHAnsi"/>
          <w:sz w:val="22"/>
          <w:szCs w:val="22"/>
        </w:rPr>
        <w:t>Christine Wilson noted that she had flagged some historical inconsistencies in the data submitted by units — including ECE, which in some years reported amounts that did not match the Chancellor's approval records — and was correcting these in a supplemental table for committee members' reference. Members were again reminded that their individual completed sheets are due by March 20th and should be saved with their name and uploaded to Box.</w:t>
      </w:r>
    </w:p>
    <w:p w14:paraId="38F48F81"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6. Review – Student Legal Services</w:t>
      </w:r>
    </w:p>
    <w:p w14:paraId="38F48F82"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Christina Chance led the committee's review of Student Legal Services (SLS). SLS provides free legal advice, document drafting, and referrals to enrolled UCLA students, covering landlord-tenant disputes, immigration law, employment, family law, domestic violence, and other areas. Services are currently free to students; a small fee was previously charged but was eliminated in response to student feedback indicating it was a barrier to access, particularly for low-income and undocumented students.</w:t>
      </w:r>
    </w:p>
    <w:p w14:paraId="38F48F83"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SLS's budget is almost entirely SSF-funded — approximately 99% — and consists primarily of permanent funds supporting attorney salaries, a director, and administrative support. The unit also uses legal research databases (such as Westlaw or LexisNexis), the cost of which has increased significantly. Recent retirements of two long-tenured staff — the director and assistant director — created vacancies that are slow to fill due to the campus hiring freeze, resulting in a carry-forward of approximately $236,000. This carry-forward is expected to diminish once vacant positions are filled.</w:t>
      </w:r>
    </w:p>
    <w:p w14:paraId="38F48F84"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noted that immigration-related caseloads have increased significantly in the current environment, while at the same time the unit's attorney capacity has decreased from 2.4 to 1.7 FTE over two recent academic years, creating a heavier burden on remaining staff. The unit has been expanding partnerships with the School of Law and pro bono resources to offset some of the gap, but this does not fully compensate for the staffing reduction.</w:t>
      </w:r>
    </w:p>
    <w:p w14:paraId="38F48F85" w14:textId="43BB230A" w:rsidR="00121D10"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expressed strong support for SLS's mission and noted the unit's high satisfaction scores and track record of serving marginalized student populations including low-income, undocumented, international, and LGBTQ+ students. Follow-up questions include: clarification on why the trend report shows a small temporary appropriation the unit says it has not received (likely benefits); whether there is a wait time metric that could be tracked going forward; and the timeline for filling vacant attorney positions subject to the hiring freeze.</w:t>
      </w:r>
    </w:p>
    <w:p w14:paraId="7D3C1CAF" w14:textId="77777777" w:rsidR="00DF3413" w:rsidRPr="00DF3413" w:rsidRDefault="00DF3413">
      <w:pPr>
        <w:spacing w:before="60" w:after="60"/>
        <w:rPr>
          <w:rFonts w:asciiTheme="minorHAnsi" w:hAnsiTheme="minorHAnsi" w:cstheme="minorHAnsi"/>
          <w:sz w:val="22"/>
          <w:szCs w:val="22"/>
        </w:rPr>
      </w:pPr>
    </w:p>
    <w:p w14:paraId="38F48F86"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7. Review – First to Go</w:t>
      </w:r>
    </w:p>
    <w:p w14:paraId="38F48F87"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 xml:space="preserve">Chair Mitra presented the committee's review of First to Go, the unit dedicated to supporting first-generation college students through four program pillars: sense of belonging, community connection, </w:t>
      </w:r>
      <w:r>
        <w:rPr>
          <w:rFonts w:asciiTheme="minorHAnsi" w:hAnsiTheme="minorHAnsi" w:cstheme="minorHAnsi"/>
          <w:sz w:val="22"/>
          <w:szCs w:val="22"/>
        </w:rPr>
        <w:lastRenderedPageBreak/>
        <w:t>career readiness, and academic success. Slides had been prepared by Vice Chair Liu, who was unable to attend. Key initiatives include National First Gen Week (involving 70 campus partners and 13 events), a mentorship program connecting 156 mentees with 138 alumni mentors, and advising, workshops, and wellness programming targeted to first-generation students.</w:t>
      </w:r>
    </w:p>
    <w:p w14:paraId="38F48F88"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First to Go received its first permanent SSF allocation in FY 22–23 to support an Associate Director position, which is currently funded through that allocation. Additional staff — including a program coordinator and program advisor — are funded through Equity in Mental Health funds. Student intern positions are funded through what the unit labels "SFAC-funded" sources; the committee clarified that this likely means temporary SSF carry-forward or recapture funds, and asked for clarification.</w:t>
      </w:r>
    </w:p>
    <w:p w14:paraId="38F48F89"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noted that First to Go submitted a funding request that was subsequently removed by Student Affairs before it reached SFAC; it was indicated that the unit may be supported in part by Career Center development funds, given administrative oversight of First to Go, the Transfer Student Center, and the Career Center under a single executive director. The committee affirmed the value of First to Go's work, which serves approximately 70% undergraduate, 25% graduate, and a small percentage of professional students, and has demonstrated strong student engagement through competitive hiring and event participation metrics.</w:t>
      </w:r>
    </w:p>
    <w:p w14:paraId="38F48F8A"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The committee agreed that the org chart requires clarification — particularly regarding how intern compensation is funded — and that trend report data for First to Go appears combined with Transfer Student Center data given their shared administrative structure, making it difficult to review independently. These items were added to the follow-up list for the unit.</w:t>
      </w:r>
    </w:p>
    <w:p w14:paraId="38F48F8B"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Closing Business</w:t>
      </w:r>
    </w:p>
    <w:p w14:paraId="38F48F8C"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Mitra noted that reviews of OTC and the Dean of Students Office were deferred to spring quarter due to time constraints. She confirmed that the committee will meet in spring week one and that the timing of that meeting will be communicated in a follow-up email. Members were reminded that the funding allocation sheet is due March 20th.</w:t>
      </w:r>
    </w:p>
    <w:p w14:paraId="38F48F8E" w14:textId="77777777" w:rsidR="00121D10" w:rsidRPr="00DF3413" w:rsidRDefault="00843473">
      <w:pPr>
        <w:spacing w:before="200" w:after="80"/>
        <w:rPr>
          <w:rFonts w:asciiTheme="minorHAnsi" w:hAnsiTheme="minorHAnsi" w:cstheme="minorHAnsi"/>
          <w:sz w:val="22"/>
          <w:szCs w:val="22"/>
        </w:rPr>
      </w:pPr>
      <w:r>
        <w:rPr>
          <w:rFonts w:asciiTheme="minorHAnsi" w:hAnsiTheme="minorHAnsi" w:cstheme="minorHAnsi"/>
          <w:b/>
          <w:bCs/>
          <w:sz w:val="22"/>
          <w:szCs w:val="22"/>
          <w:u w:val="single"/>
        </w:rPr>
        <w:t>Adjournment</w:t>
      </w:r>
    </w:p>
    <w:p w14:paraId="38F48F8F" w14:textId="77777777" w:rsidR="00121D10" w:rsidRPr="00DF3413" w:rsidRDefault="00843473">
      <w:pPr>
        <w:spacing w:before="60" w:after="60"/>
        <w:rPr>
          <w:rFonts w:asciiTheme="minorHAnsi" w:hAnsiTheme="minorHAnsi" w:cstheme="minorHAnsi"/>
          <w:sz w:val="22"/>
          <w:szCs w:val="22"/>
        </w:rPr>
      </w:pPr>
      <w:r>
        <w:rPr>
          <w:rFonts w:asciiTheme="minorHAnsi" w:hAnsiTheme="minorHAnsi" w:cstheme="minorHAnsi"/>
          <w:sz w:val="22"/>
          <w:szCs w:val="22"/>
        </w:rPr>
        <w:t>Chair Sanjali Mitra adjourned the meeting at approximately 11:00 AM. Quorum was not confirmed during the meeting; no formal motions were required.</w:t>
      </w:r>
    </w:p>
    <w:sectPr w:rsidR="00121D10" w:rsidRPr="00DF341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B3227"/>
    <w:multiLevelType w:val="hybridMultilevel"/>
    <w:tmpl w:val="68666BF4"/>
    <w:lvl w:ilvl="0" w:tplc="DFA0A620">
      <w:start w:val="1"/>
      <w:numFmt w:val="bullet"/>
      <w:lvlText w:val="●"/>
      <w:lvlJc w:val="left"/>
      <w:pPr>
        <w:ind w:left="720" w:hanging="360"/>
      </w:pPr>
    </w:lvl>
    <w:lvl w:ilvl="1" w:tplc="932462B2">
      <w:start w:val="1"/>
      <w:numFmt w:val="bullet"/>
      <w:lvlText w:val="○"/>
      <w:lvlJc w:val="left"/>
      <w:pPr>
        <w:ind w:left="1440" w:hanging="360"/>
      </w:pPr>
    </w:lvl>
    <w:lvl w:ilvl="2" w:tplc="E2A456BE">
      <w:start w:val="1"/>
      <w:numFmt w:val="bullet"/>
      <w:lvlText w:val="■"/>
      <w:lvlJc w:val="left"/>
      <w:pPr>
        <w:ind w:left="2160" w:hanging="360"/>
      </w:pPr>
    </w:lvl>
    <w:lvl w:ilvl="3" w:tplc="5082FE2A">
      <w:start w:val="1"/>
      <w:numFmt w:val="bullet"/>
      <w:lvlText w:val="●"/>
      <w:lvlJc w:val="left"/>
      <w:pPr>
        <w:ind w:left="2880" w:hanging="360"/>
      </w:pPr>
    </w:lvl>
    <w:lvl w:ilvl="4" w:tplc="55E22B60">
      <w:start w:val="1"/>
      <w:numFmt w:val="bullet"/>
      <w:lvlText w:val="○"/>
      <w:lvlJc w:val="left"/>
      <w:pPr>
        <w:ind w:left="3600" w:hanging="360"/>
      </w:pPr>
    </w:lvl>
    <w:lvl w:ilvl="5" w:tplc="76426444">
      <w:start w:val="1"/>
      <w:numFmt w:val="bullet"/>
      <w:lvlText w:val="■"/>
      <w:lvlJc w:val="left"/>
      <w:pPr>
        <w:ind w:left="4320" w:hanging="360"/>
      </w:pPr>
    </w:lvl>
    <w:lvl w:ilvl="6" w:tplc="DAFA431C">
      <w:start w:val="1"/>
      <w:numFmt w:val="bullet"/>
      <w:lvlText w:val="●"/>
      <w:lvlJc w:val="left"/>
      <w:pPr>
        <w:ind w:left="5040" w:hanging="360"/>
      </w:pPr>
    </w:lvl>
    <w:lvl w:ilvl="7" w:tplc="D8FE3AB2">
      <w:start w:val="1"/>
      <w:numFmt w:val="bullet"/>
      <w:lvlText w:val="●"/>
      <w:lvlJc w:val="left"/>
      <w:pPr>
        <w:ind w:left="5760" w:hanging="360"/>
      </w:pPr>
    </w:lvl>
    <w:lvl w:ilvl="8" w:tplc="485A1B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D10"/>
    <w:rsid w:val="00121D10"/>
    <w:rsid w:val="00843473"/>
    <w:rsid w:val="00DF3413"/>
    <w:rsid w:val="00FE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8F54"/>
  <w15:docId w15:val="{B7C18D52-CBDC-478C-B9DC-F21A2543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C68813A6-A93C-4118-9F66-3EFF6849D8A8}">
  <ds:schemaRefs>
    <ds:schemaRef ds:uri="http://schemas.microsoft.com/sharepoint/v3/contenttype/forms"/>
  </ds:schemaRefs>
</ds:datastoreItem>
</file>

<file path=customXml/itemProps2.xml><?xml version="1.0" encoding="utf-8"?>
<ds:datastoreItem xmlns:ds="http://schemas.openxmlformats.org/officeDocument/2006/customXml" ds:itemID="{7FE68C65-91EE-4E95-9684-0F5C08ED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F85E8-9636-4120-BAD7-B5082502F045}">
  <ds:schemaRefs>
    <ds:schemaRef ds:uri="75d5f0e9-6578-4a78-b477-b96d28847dce"/>
    <ds:schemaRef ds:uri="http://purl.org/dc/elements/1.1/"/>
    <ds:schemaRef ds:uri="http://purl.org/dc/terms/"/>
    <ds:schemaRef ds:uri="http://purl.org/dc/dcmitype/"/>
    <ds:schemaRef ds:uri="d17a9ae8-130e-4057-b251-18a7d7ce0c05"/>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Wilson, Christine</cp:lastModifiedBy>
  <cp:revision>2</cp:revision>
  <dcterms:created xsi:type="dcterms:W3CDTF">2026-05-22T19:10:00Z</dcterms:created>
  <dcterms:modified xsi:type="dcterms:W3CDTF">2026-05-22T19:10:00Z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