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634FE" w14:textId="77777777" w:rsidR="0099566F" w:rsidRDefault="00AF7AA8">
      <w:pPr>
        <w:spacing w:before="20"/>
        <w:jc w:val="center"/>
      </w:pPr>
      <w:r>
        <w:rPr>
          <w:b/>
          <w:bCs/>
        </w:rPr>
        <w:t>STUDENT FEE ADVISORY COMMITTEE (SFAC)</w:t>
      </w:r>
    </w:p>
    <w:p w14:paraId="66E634FF" w14:textId="77777777" w:rsidR="0099566F" w:rsidRDefault="00AF7AA8">
      <w:pPr>
        <w:spacing w:before="20"/>
        <w:jc w:val="center"/>
      </w:pPr>
      <w:r>
        <w:rPr>
          <w:b/>
          <w:bCs/>
        </w:rPr>
        <w:t>Week 1 – Spring Quarter Meeting</w:t>
      </w:r>
    </w:p>
    <w:p w14:paraId="66E63500" w14:textId="77777777" w:rsidR="0099566F" w:rsidRDefault="00AF7AA8">
      <w:pPr>
        <w:spacing w:before="20"/>
        <w:jc w:val="center"/>
      </w:pPr>
      <w:r>
        <w:rPr>
          <w:b/>
          <w:bCs/>
        </w:rPr>
        <w:t>Friday, April 3, 2026</w:t>
      </w:r>
    </w:p>
    <w:p w14:paraId="66E63501" w14:textId="77777777" w:rsidR="0099566F" w:rsidRDefault="00AF7AA8">
      <w:pPr>
        <w:spacing w:before="20"/>
        <w:jc w:val="center"/>
      </w:pPr>
      <w:r>
        <w:rPr>
          <w:b/>
          <w:bCs/>
        </w:rPr>
        <w:t>Location: Zoom</w:t>
      </w:r>
    </w:p>
    <w:p w14:paraId="66E63502" w14:textId="77777777" w:rsidR="0099566F" w:rsidRDefault="00AF7AA8">
      <w:pPr>
        <w:spacing w:before="20"/>
        <w:jc w:val="center"/>
      </w:pPr>
      <w:r>
        <w:rPr>
          <w:b/>
          <w:bCs/>
        </w:rPr>
        <w:t>Time: 1:00 PM – 3:00 PM</w:t>
      </w:r>
    </w:p>
    <w:p w14:paraId="66E63503" w14:textId="77777777" w:rsidR="0099566F" w:rsidRDefault="0099566F">
      <w:pPr>
        <w:spacing w:before="80"/>
      </w:pPr>
    </w:p>
    <w:p w14:paraId="66E63504" w14:textId="77777777" w:rsidR="0099566F" w:rsidRDefault="00AF7AA8">
      <w:pPr>
        <w:spacing w:before="200"/>
      </w:pPr>
      <w:r>
        <w:rPr>
          <w:b/>
          <w:bCs/>
          <w:u w:val="single"/>
        </w:rPr>
        <w:t>Attendance</w:t>
      </w:r>
    </w:p>
    <w:p w14:paraId="66E63505" w14:textId="77777777" w:rsidR="0099566F" w:rsidRDefault="00AF7AA8">
      <w:pPr>
        <w:spacing w:before="80"/>
      </w:pPr>
      <w:r>
        <w:rPr>
          <w:b/>
          <w:bCs/>
          <w:i/>
          <w:iCs/>
        </w:rPr>
        <w:t>Present</w:t>
      </w:r>
    </w:p>
    <w:p w14:paraId="66E63506" w14:textId="77777777" w:rsidR="0099566F" w:rsidRDefault="00AF7AA8">
      <w:pPr>
        <w:spacing w:before="40"/>
      </w:pPr>
      <w:r>
        <w:rPr>
          <w:b/>
          <w:bCs/>
        </w:rPr>
        <w:t xml:space="preserve">Graduate Students: </w:t>
      </w:r>
      <w:r>
        <w:t>Chair Sanjali Mitra; Christina Chance</w:t>
      </w:r>
    </w:p>
    <w:p w14:paraId="66E63507" w14:textId="77777777" w:rsidR="0099566F" w:rsidRDefault="00AF7AA8">
      <w:pPr>
        <w:spacing w:before="40"/>
      </w:pPr>
      <w:r>
        <w:rPr>
          <w:b/>
          <w:bCs/>
        </w:rPr>
        <w:t xml:space="preserve">Undergraduate Students: </w:t>
      </w:r>
      <w:r>
        <w:t xml:space="preserve">Vice Chair Allston Liu; Emily Kim; </w:t>
      </w:r>
      <w:proofErr w:type="spellStart"/>
      <w:r>
        <w:t>Mehreen</w:t>
      </w:r>
      <w:proofErr w:type="spellEnd"/>
      <w:r>
        <w:t xml:space="preserve"> </w:t>
      </w:r>
      <w:proofErr w:type="spellStart"/>
      <w:r>
        <w:t>Suzaan</w:t>
      </w:r>
      <w:proofErr w:type="spellEnd"/>
    </w:p>
    <w:p w14:paraId="66E63508" w14:textId="77777777" w:rsidR="0099566F" w:rsidRDefault="00AF7AA8">
      <w:pPr>
        <w:spacing w:before="40"/>
      </w:pPr>
      <w:r>
        <w:rPr>
          <w:b/>
          <w:bCs/>
        </w:rPr>
        <w:t xml:space="preserve">Administrators: </w:t>
      </w:r>
      <w:r>
        <w:t>Erinn McMahan</w:t>
      </w:r>
    </w:p>
    <w:p w14:paraId="66E63509" w14:textId="77777777" w:rsidR="0099566F" w:rsidRDefault="00AF7AA8">
      <w:pPr>
        <w:spacing w:before="40"/>
      </w:pPr>
      <w:r>
        <w:rPr>
          <w:b/>
          <w:bCs/>
        </w:rPr>
        <w:t xml:space="preserve">Advisor: </w:t>
      </w:r>
      <w:r>
        <w:t>Christine Wilson</w:t>
      </w:r>
    </w:p>
    <w:p w14:paraId="66E6350A" w14:textId="77777777" w:rsidR="0099566F" w:rsidRDefault="0099566F">
      <w:pPr>
        <w:spacing w:before="80"/>
      </w:pPr>
    </w:p>
    <w:p w14:paraId="66E6350B" w14:textId="77777777" w:rsidR="0099566F" w:rsidRDefault="00AF7AA8">
      <w:pPr>
        <w:spacing w:before="80"/>
      </w:pPr>
      <w:r>
        <w:rPr>
          <w:b/>
          <w:bCs/>
          <w:i/>
          <w:iCs/>
        </w:rPr>
        <w:t>Not Present</w:t>
      </w:r>
    </w:p>
    <w:p w14:paraId="66E6350C" w14:textId="77777777" w:rsidR="0099566F" w:rsidRDefault="00AF7AA8">
      <w:pPr>
        <w:spacing w:before="40"/>
      </w:pPr>
      <w:r>
        <w:rPr>
          <w:b/>
          <w:bCs/>
        </w:rPr>
        <w:t xml:space="preserve">Graduate Students: </w:t>
      </w:r>
      <w:r>
        <w:t>Yiping Wang; Pratik Manwani</w:t>
      </w:r>
    </w:p>
    <w:p w14:paraId="66E6350D" w14:textId="77777777" w:rsidR="0099566F" w:rsidRDefault="00AF7AA8">
      <w:pPr>
        <w:spacing w:before="40"/>
      </w:pPr>
      <w:r>
        <w:rPr>
          <w:b/>
          <w:bCs/>
        </w:rPr>
        <w:t xml:space="preserve">Undergraduate Students: </w:t>
      </w:r>
      <w:r>
        <w:t>Flo Cudal</w:t>
      </w:r>
    </w:p>
    <w:p w14:paraId="66E6350E" w14:textId="77777777" w:rsidR="0099566F" w:rsidRDefault="00AF7AA8">
      <w:pPr>
        <w:spacing w:before="40"/>
      </w:pPr>
      <w:r>
        <w:rPr>
          <w:b/>
          <w:bCs/>
        </w:rPr>
        <w:t xml:space="preserve">Administrators: </w:t>
      </w:r>
      <w:r>
        <w:t>Karen Hedges</w:t>
      </w:r>
    </w:p>
    <w:p w14:paraId="66E6350F" w14:textId="77777777" w:rsidR="0099566F" w:rsidRDefault="0099566F">
      <w:pPr>
        <w:spacing w:before="80"/>
      </w:pPr>
    </w:p>
    <w:p w14:paraId="66E63510" w14:textId="77777777" w:rsidR="0099566F" w:rsidRDefault="00AF7AA8">
      <w:pPr>
        <w:spacing w:before="200"/>
      </w:pPr>
      <w:r>
        <w:rPr>
          <w:b/>
          <w:bCs/>
          <w:u w:val="single"/>
        </w:rPr>
        <w:t>Agenda</w:t>
      </w:r>
    </w:p>
    <w:p w14:paraId="66E63511" w14:textId="77777777" w:rsidR="0099566F" w:rsidRDefault="00AF7AA8">
      <w:pPr>
        <w:spacing w:before="40"/>
      </w:pPr>
      <w:r>
        <w:t xml:space="preserve">1. Approval of the </w:t>
      </w:r>
      <w:r>
        <w:t>Agenda</w:t>
      </w:r>
    </w:p>
    <w:p w14:paraId="66E63512" w14:textId="77777777" w:rsidR="0099566F" w:rsidRDefault="00AF7AA8">
      <w:pPr>
        <w:spacing w:before="40"/>
      </w:pPr>
      <w:r>
        <w:t>2. Review Referenda to be voted on in upcoming GSA and USAC Elections</w:t>
      </w:r>
    </w:p>
    <w:p w14:paraId="66E63513" w14:textId="77777777" w:rsidR="0099566F" w:rsidRDefault="00AF7AA8">
      <w:pPr>
        <w:spacing w:before="20"/>
        <w:ind w:left="720"/>
      </w:pPr>
      <w:r>
        <w:t>a. GOLD</w:t>
      </w:r>
    </w:p>
    <w:p w14:paraId="66E63514" w14:textId="77777777" w:rsidR="0099566F" w:rsidRDefault="00AF7AA8">
      <w:pPr>
        <w:spacing w:before="20"/>
        <w:ind w:left="720"/>
      </w:pPr>
      <w:r>
        <w:t>b. BLUE</w:t>
      </w:r>
    </w:p>
    <w:p w14:paraId="66E63515" w14:textId="77777777" w:rsidR="0099566F" w:rsidRDefault="00AF7AA8">
      <w:pPr>
        <w:spacing w:before="20"/>
        <w:ind w:left="720"/>
      </w:pPr>
      <w:r>
        <w:t>c. Student Success</w:t>
      </w:r>
    </w:p>
    <w:p w14:paraId="66E63516" w14:textId="77777777" w:rsidR="0099566F" w:rsidRDefault="00AF7AA8">
      <w:pPr>
        <w:spacing w:before="20"/>
        <w:ind w:left="720"/>
      </w:pPr>
      <w:r>
        <w:t>d. Bruin Bash</w:t>
      </w:r>
    </w:p>
    <w:p w14:paraId="66E63517" w14:textId="77777777" w:rsidR="0099566F" w:rsidRDefault="0099566F">
      <w:pPr>
        <w:spacing w:before="80"/>
      </w:pPr>
    </w:p>
    <w:p w14:paraId="66E63518" w14:textId="77777777" w:rsidR="0099566F" w:rsidRDefault="00AF7AA8">
      <w:pPr>
        <w:spacing w:before="200"/>
      </w:pPr>
      <w:r>
        <w:rPr>
          <w:b/>
          <w:bCs/>
          <w:u w:val="single"/>
        </w:rPr>
        <w:t>Call to Order</w:t>
      </w:r>
    </w:p>
    <w:p w14:paraId="66E63519" w14:textId="77777777" w:rsidR="0099566F" w:rsidRDefault="00AF7AA8">
      <w:pPr>
        <w:spacing w:before="80"/>
      </w:pPr>
      <w:r>
        <w:t>Chair Sanjali Mitra called the meeting to order at approximately 1:00 PM. Quorum was confirmed with six members present.</w:t>
      </w:r>
    </w:p>
    <w:p w14:paraId="66E6351A" w14:textId="77777777" w:rsidR="0099566F" w:rsidRDefault="00AF7AA8">
      <w:pPr>
        <w:spacing w:before="200"/>
      </w:pPr>
      <w:r>
        <w:rPr>
          <w:b/>
          <w:bCs/>
          <w:u w:val="single"/>
        </w:rPr>
        <w:t>1. Approval of the Agenda</w:t>
      </w:r>
    </w:p>
    <w:p w14:paraId="66E6351B" w14:textId="77777777" w:rsidR="0099566F" w:rsidRDefault="00AF7AA8">
      <w:pPr>
        <w:spacing w:before="80"/>
      </w:pPr>
      <w:r>
        <w:t>Chair Mitra called for a motion to approve the agenda. Allston Liu moved to approve the agenda. Christina Cha</w:t>
      </w:r>
      <w:r>
        <w:t>nce seconded. The agenda was approved.</w:t>
      </w:r>
    </w:p>
    <w:p w14:paraId="66E6351C" w14:textId="77777777" w:rsidR="0099566F" w:rsidRDefault="00AF7AA8">
      <w:pPr>
        <w:spacing w:before="200"/>
      </w:pPr>
      <w:r>
        <w:rPr>
          <w:b/>
          <w:bCs/>
          <w:u w:val="single"/>
        </w:rPr>
        <w:t>2. Review of Referenda</w:t>
      </w:r>
    </w:p>
    <w:p w14:paraId="66E6351D" w14:textId="77777777" w:rsidR="0099566F" w:rsidRDefault="00AF7AA8">
      <w:pPr>
        <w:spacing w:before="80"/>
      </w:pPr>
      <w:r>
        <w:t>The committee reviewed four referenda that had been approved by GSA and USAC and were proceeding to the Chancellor before appearing on the student election ballot. Chair Mitra explained that SFA</w:t>
      </w:r>
      <w:r>
        <w:t>C's role at this stage is advisory — the committee may opine on the clarity and transparency of referendum language and communicate concerns to the Vice Chancellor, but cannot prevent a referendum from reaching the ballot. Christine Wilson noted that UC po</w:t>
      </w:r>
      <w:r>
        <w:t>licy does not specify the form SFAC's opinion must take, and that how committees handle this responsibility varies across campuses.</w:t>
      </w:r>
    </w:p>
    <w:p w14:paraId="59E472F0" w14:textId="447B7B44" w:rsidR="00AF7AA8" w:rsidRDefault="00AF7AA8">
      <w:pPr>
        <w:spacing w:before="120"/>
        <w:rPr>
          <w:b/>
          <w:bCs/>
        </w:rPr>
      </w:pPr>
      <w:r>
        <w:rPr>
          <w:b/>
          <w:bCs/>
        </w:rPr>
        <w:lastRenderedPageBreak/>
        <w:t>Motion to Move to Executive Session</w:t>
      </w:r>
    </w:p>
    <w:p w14:paraId="753E01C5" w14:textId="0E74C892" w:rsidR="00AF7AA8" w:rsidRDefault="00AF7AA8">
      <w:pPr>
        <w:spacing w:before="120"/>
        <w:rPr>
          <w:b/>
          <w:bCs/>
        </w:rPr>
      </w:pPr>
      <w:r>
        <w:rPr>
          <w:b/>
          <w:bCs/>
        </w:rPr>
        <w:t>Moved: Erinn McMahan</w:t>
      </w:r>
      <w:r>
        <w:rPr>
          <w:b/>
          <w:bCs/>
        </w:rPr>
        <w:br/>
        <w:t>Seconded: Allston Liu</w:t>
      </w:r>
    </w:p>
    <w:p w14:paraId="313F3CF7" w14:textId="52FD38BC" w:rsidR="00AF7AA8" w:rsidRDefault="00AF7AA8">
      <w:pPr>
        <w:spacing w:before="120"/>
        <w:rPr>
          <w:b/>
          <w:bCs/>
        </w:rPr>
      </w:pPr>
      <w:r>
        <w:rPr>
          <w:b/>
          <w:bCs/>
        </w:rPr>
        <w:t>Approved by Unanimous Consent</w:t>
      </w:r>
    </w:p>
    <w:p w14:paraId="57766733" w14:textId="77777777" w:rsidR="00AF7AA8" w:rsidRDefault="00AF7AA8">
      <w:pPr>
        <w:spacing w:before="120"/>
        <w:rPr>
          <w:b/>
          <w:bCs/>
        </w:rPr>
      </w:pPr>
    </w:p>
    <w:p w14:paraId="66E6351E" w14:textId="56822579" w:rsidR="0099566F" w:rsidRDefault="00AF7AA8">
      <w:pPr>
        <w:spacing w:before="120"/>
      </w:pPr>
      <w:r>
        <w:rPr>
          <w:b/>
          <w:bCs/>
        </w:rPr>
        <w:t>GOLD Referendum (Graduate Students)</w:t>
      </w:r>
    </w:p>
    <w:p w14:paraId="66E6351F" w14:textId="77777777" w:rsidR="0099566F" w:rsidRDefault="00AF7AA8">
      <w:pPr>
        <w:spacing w:before="80"/>
      </w:pPr>
      <w:r>
        <w:t>The GOLD referendum proposes a new fee for graduate students to fund graduate-related pr</w:t>
      </w:r>
      <w:r>
        <w:t>ograms and ASUCLA-operated student services and spaces. Members raised concerns about vague language, particularly around which specific entities or programs would receive funds and who would oversee how money is spent. The committee noted that the amounts</w:t>
      </w:r>
      <w:r>
        <w:t xml:space="preserve"> charged to graduate students versus undergraduates for the ASUCLA spaces component differ significantly between the GOLD and BLUE referenda, and requested clarification on the methodology behind those figures. Members also questioned whether 'Graduate Eng</w:t>
      </w:r>
      <w:r>
        <w:t>agement and Transition Programs' refers to an existing campus entity. Erinn McMahan and others noted that, while they are not opposed to the goals of the referenda, the lack of specificity makes it difficult for students to make informed voting decisions.</w:t>
      </w:r>
    </w:p>
    <w:p w14:paraId="66E63520" w14:textId="77777777" w:rsidR="0099566F" w:rsidRDefault="00AF7AA8">
      <w:pPr>
        <w:spacing w:before="120"/>
      </w:pPr>
      <w:r>
        <w:rPr>
          <w:b/>
          <w:bCs/>
        </w:rPr>
        <w:t>BLUE Referendum (Undergradua</w:t>
      </w:r>
      <w:bookmarkStart w:id="0" w:name="_GoBack"/>
      <w:bookmarkEnd w:id="0"/>
      <w:r>
        <w:rPr>
          <w:b/>
          <w:bCs/>
        </w:rPr>
        <w:t>te Students)</w:t>
      </w:r>
    </w:p>
    <w:p w14:paraId="66E63521" w14:textId="77777777" w:rsidR="0099566F" w:rsidRDefault="00AF7AA8">
      <w:pPr>
        <w:spacing w:before="80"/>
      </w:pPr>
      <w:r>
        <w:t xml:space="preserve">The BLUE referendum proposes a new undergraduate fee to fund ASUCLA-operated student services and spaces, an undergraduate events fund, and student organization support. The committee raised the same concerns about </w:t>
      </w:r>
      <w:r>
        <w:t>vague language for the ASUCLA spaces component and questioned whether the referendum was developed at the student government's initiative or originated from ASUCLA administration. Christine Wilson noted she had emailed Mike Cohen of the Vice Chancellor's o</w:t>
      </w:r>
      <w:r>
        <w:t>ffice seeking clarification on several points, including what 'ASUCLA-operated spaces' covers, whether it would support rent for units like the Transfer Student Center and Veterans Resource Center, and how the differential fees between graduate and undergr</w:t>
      </w:r>
      <w:r>
        <w:t>aduate students were determined.</w:t>
      </w:r>
    </w:p>
    <w:p w14:paraId="66E63522" w14:textId="77777777" w:rsidR="0099566F" w:rsidRDefault="00AF7AA8">
      <w:pPr>
        <w:spacing w:before="120"/>
      </w:pPr>
      <w:r>
        <w:rPr>
          <w:b/>
          <w:bCs/>
        </w:rPr>
        <w:t>Student Success Referendum (Undergraduates)</w:t>
      </w:r>
    </w:p>
    <w:p w14:paraId="66E63523" w14:textId="77777777" w:rsidR="0099566F" w:rsidRDefault="00AF7AA8">
      <w:pPr>
        <w:spacing w:before="80"/>
      </w:pPr>
      <w:r>
        <w:t>The Student Success referendum proposes undergraduate fees to supplement funding for named student resource centers, including the Transfer Student Center, Veterans Resource Cente</w:t>
      </w:r>
      <w:r>
        <w:t xml:space="preserve">r, LGBTQ Campus Resource Center, </w:t>
      </w:r>
      <w:proofErr w:type="spellStart"/>
      <w:r>
        <w:t>Dashew</w:t>
      </w:r>
      <w:proofErr w:type="spellEnd"/>
      <w:r>
        <w:t xml:space="preserve"> Center, and others. The committee noted significant overlap between these units and those reviewed under the Student Services Fee, and discussed how the committee would factor potential referendum revenue into its SS</w:t>
      </w:r>
      <w:r>
        <w:t>F allocation decisions. Chair Mitra noted that some listed entities — including the UCLA Pacific Islander Resource Center and UCLA American Indian Community Center — did not appear to be independently established units, and asked for clarification. The com</w:t>
      </w:r>
      <w:r>
        <w:t>mittee also raised questions about the 60% summer fee rate for units that operate year-round.</w:t>
      </w:r>
    </w:p>
    <w:p w14:paraId="66E63524" w14:textId="77777777" w:rsidR="0099566F" w:rsidRDefault="00AF7AA8">
      <w:pPr>
        <w:spacing w:before="120"/>
      </w:pPr>
      <w:r>
        <w:rPr>
          <w:b/>
          <w:bCs/>
        </w:rPr>
        <w:t>Bruin Bash / Enormous Activities Fair Referendum (Undergraduates)</w:t>
      </w:r>
    </w:p>
    <w:p w14:paraId="66E63525" w14:textId="77777777" w:rsidR="0099566F" w:rsidRDefault="00AF7AA8">
      <w:pPr>
        <w:spacing w:before="80"/>
      </w:pPr>
      <w:r>
        <w:t>The Bruin Bash referendum proposes a new undergraduate fee to support the annual Bruin Bash concert and the Enormous Activities Fair (EAF). Erinn McMahan clarified that the listed venue/facilities costs do not represent a rental fee — they cover operationa</w:t>
      </w:r>
      <w:r>
        <w:t>l expenses such as security, custodial services, and equipment. She also noted that the existing fee is insufficient to cover actual costs, and that the event has moved away from Pauley Pavilion in part due to higher associated costs. Members questioned wh</w:t>
      </w:r>
      <w:r>
        <w:t>y the referendum's detailed justification addresses only Bruin Bash despite EAF being included in its scope. Christina Chance raised equity concerns about a fee charged to all students for an event with a capacity cap. Members also raised concerns about th</w:t>
      </w:r>
      <w:r>
        <w:t xml:space="preserve">e CPI adjustment methodology, with Erinn McMahan explaining that annual versus multi-year adjustment schedules produce similar </w:t>
      </w:r>
      <w:r>
        <w:lastRenderedPageBreak/>
        <w:t xml:space="preserve">cumulative cost increases but affect how frequently students see fee changes. </w:t>
      </w:r>
      <w:proofErr w:type="spellStart"/>
      <w:r>
        <w:t>Mehreen</w:t>
      </w:r>
      <w:proofErr w:type="spellEnd"/>
      <w:r>
        <w:t xml:space="preserve"> </w:t>
      </w:r>
      <w:proofErr w:type="spellStart"/>
      <w:r>
        <w:t>Suzaan</w:t>
      </w:r>
      <w:proofErr w:type="spellEnd"/>
      <w:r>
        <w:t xml:space="preserve"> asked whether referenda fees are per</w:t>
      </w:r>
      <w:r>
        <w:t>manent; Chair Mitra confirmed they contain no sunset clause, though they include annual CPI adjustments.</w:t>
      </w:r>
    </w:p>
    <w:p w14:paraId="66E63527" w14:textId="746206BC" w:rsidR="0099566F" w:rsidRDefault="00AF7AA8">
      <w:pPr>
        <w:spacing w:before="80"/>
      </w:pPr>
      <w:r>
        <w:t>Erinn McMahan raised a procedural question about whether the referendum discussion should be held in executive sessio</w:t>
      </w:r>
      <w:r>
        <w:t>n. Chair Mitra confirmed quorum. Erinn McMahan moved to hold the referendum discussion in executive session retroactively. Christina Chance seconded. The motion passed without objection.</w:t>
      </w:r>
    </w:p>
    <w:p w14:paraId="67C2C9BC" w14:textId="61DEFB69" w:rsidR="00AF7AA8" w:rsidRPr="00AF7AA8" w:rsidRDefault="00AF7AA8">
      <w:pPr>
        <w:spacing w:before="80"/>
        <w:rPr>
          <w:b/>
        </w:rPr>
      </w:pPr>
      <w:r w:rsidRPr="00AF7AA8">
        <w:rPr>
          <w:b/>
        </w:rPr>
        <w:t>Motion to Leave Executive Session</w:t>
      </w:r>
    </w:p>
    <w:p w14:paraId="3DC2BD15" w14:textId="2B75403E" w:rsidR="00AF7AA8" w:rsidRPr="00AF7AA8" w:rsidRDefault="00AF7AA8">
      <w:pPr>
        <w:spacing w:before="80"/>
        <w:rPr>
          <w:b/>
        </w:rPr>
      </w:pPr>
      <w:r w:rsidRPr="00AF7AA8">
        <w:rPr>
          <w:b/>
        </w:rPr>
        <w:t>Moved: Erinn McMahan</w:t>
      </w:r>
      <w:r w:rsidRPr="00AF7AA8">
        <w:rPr>
          <w:b/>
        </w:rPr>
        <w:br/>
        <w:t>Seconded: Allston Liu</w:t>
      </w:r>
    </w:p>
    <w:p w14:paraId="4C2E427F" w14:textId="2CE6B548" w:rsidR="00AF7AA8" w:rsidRPr="00AF7AA8" w:rsidRDefault="00AF7AA8">
      <w:pPr>
        <w:spacing w:before="80"/>
        <w:rPr>
          <w:b/>
        </w:rPr>
      </w:pPr>
      <w:r w:rsidRPr="00AF7AA8">
        <w:rPr>
          <w:b/>
        </w:rPr>
        <w:t>Motion Approved by Unanimous Consent</w:t>
      </w:r>
      <w:r>
        <w:rPr>
          <w:b/>
        </w:rPr>
        <w:br/>
      </w:r>
    </w:p>
    <w:p w14:paraId="66E63528" w14:textId="42E6D5A5" w:rsidR="0099566F" w:rsidRDefault="00AF7AA8">
      <w:pPr>
        <w:spacing w:before="120"/>
      </w:pPr>
      <w:r>
        <w:rPr>
          <w:b/>
          <w:bCs/>
        </w:rPr>
        <w:t>General Committee Observations Regarding Review of Referenda</w:t>
      </w:r>
    </w:p>
    <w:p w14:paraId="66E63529" w14:textId="77777777" w:rsidR="0099566F" w:rsidRDefault="00AF7AA8">
      <w:pPr>
        <w:spacing w:before="80"/>
      </w:pPr>
      <w:r>
        <w:t>Across all four referenda, the committ</w:t>
      </w:r>
      <w:r>
        <w:t xml:space="preserve">ee identified recurring concerns: insufficient specificity about fund recipients and governance; inconsistent summer fee percentages without clear rationale; and a timeline that did not allow SFAC to provide meaningful input before referenda were approved </w:t>
      </w:r>
      <w:r>
        <w:t>by the student governments. Chair Mitra noted that the committee may recommend a process change — including a proposal to the Chancellor that SFAC be provided referenda for review at an earlier stage — and that this could be codified in the committee's byl</w:t>
      </w:r>
      <w:r>
        <w:t>aws and charter.</w:t>
      </w:r>
    </w:p>
    <w:p w14:paraId="66E6352A" w14:textId="77777777" w:rsidR="0099566F" w:rsidRDefault="00AF7AA8">
      <w:pPr>
        <w:spacing w:before="200"/>
      </w:pPr>
      <w:r>
        <w:rPr>
          <w:b/>
          <w:bCs/>
          <w:u w:val="single"/>
        </w:rPr>
        <w:t>Closing Business</w:t>
      </w:r>
    </w:p>
    <w:p w14:paraId="66E6352B" w14:textId="77777777" w:rsidR="0099566F" w:rsidRDefault="00AF7AA8">
      <w:pPr>
        <w:spacing w:before="80"/>
      </w:pPr>
      <w:r>
        <w:t>Chair Mitra noted that today is Spring Week 1, outlined the plan for the remainder of the quarter, and indicated that Christine Wilson would send a letter to the Vice Chancellor on behalf of the committee summarizing the q</w:t>
      </w:r>
      <w:r>
        <w:t>uestions raised during today's referendum review. The meeting adjourned at approximately 2:45 PM.</w:t>
      </w:r>
    </w:p>
    <w:p w14:paraId="66E6352C" w14:textId="77777777" w:rsidR="0099566F" w:rsidRDefault="00AF7AA8">
      <w:pPr>
        <w:spacing w:before="200"/>
      </w:pPr>
      <w:r>
        <w:rPr>
          <w:b/>
          <w:bCs/>
          <w:u w:val="single"/>
        </w:rPr>
        <w:t>Adjournment</w:t>
      </w:r>
    </w:p>
    <w:p w14:paraId="66E6352D" w14:textId="77777777" w:rsidR="0099566F" w:rsidRDefault="00AF7AA8">
      <w:pPr>
        <w:spacing w:before="80"/>
      </w:pPr>
      <w:r>
        <w:t>Christina Chance moved to adjourn the meeting at 2:45 PM. Emily Kim seconded. The meeting was adjourned.</w:t>
      </w:r>
    </w:p>
    <w:sectPr w:rsidR="0099566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B189F"/>
    <w:multiLevelType w:val="hybridMultilevel"/>
    <w:tmpl w:val="761235EC"/>
    <w:lvl w:ilvl="0" w:tplc="22125982">
      <w:start w:val="1"/>
      <w:numFmt w:val="bullet"/>
      <w:lvlText w:val="●"/>
      <w:lvlJc w:val="left"/>
      <w:pPr>
        <w:ind w:left="720" w:hanging="360"/>
      </w:pPr>
    </w:lvl>
    <w:lvl w:ilvl="1" w:tplc="55A064E6">
      <w:start w:val="1"/>
      <w:numFmt w:val="bullet"/>
      <w:lvlText w:val="○"/>
      <w:lvlJc w:val="left"/>
      <w:pPr>
        <w:ind w:left="1440" w:hanging="360"/>
      </w:pPr>
    </w:lvl>
    <w:lvl w:ilvl="2" w:tplc="3B6E665C">
      <w:start w:val="1"/>
      <w:numFmt w:val="bullet"/>
      <w:lvlText w:val="■"/>
      <w:lvlJc w:val="left"/>
      <w:pPr>
        <w:ind w:left="2160" w:hanging="360"/>
      </w:pPr>
    </w:lvl>
    <w:lvl w:ilvl="3" w:tplc="55E83412">
      <w:start w:val="1"/>
      <w:numFmt w:val="bullet"/>
      <w:lvlText w:val="●"/>
      <w:lvlJc w:val="left"/>
      <w:pPr>
        <w:ind w:left="2880" w:hanging="360"/>
      </w:pPr>
    </w:lvl>
    <w:lvl w:ilvl="4" w:tplc="FE34B9FC">
      <w:start w:val="1"/>
      <w:numFmt w:val="bullet"/>
      <w:lvlText w:val="○"/>
      <w:lvlJc w:val="left"/>
      <w:pPr>
        <w:ind w:left="3600" w:hanging="360"/>
      </w:pPr>
    </w:lvl>
    <w:lvl w:ilvl="5" w:tplc="9CDC49EE">
      <w:start w:val="1"/>
      <w:numFmt w:val="bullet"/>
      <w:lvlText w:val="■"/>
      <w:lvlJc w:val="left"/>
      <w:pPr>
        <w:ind w:left="4320" w:hanging="360"/>
      </w:pPr>
    </w:lvl>
    <w:lvl w:ilvl="6" w:tplc="C3E0219A">
      <w:start w:val="1"/>
      <w:numFmt w:val="bullet"/>
      <w:lvlText w:val="●"/>
      <w:lvlJc w:val="left"/>
      <w:pPr>
        <w:ind w:left="5040" w:hanging="360"/>
      </w:pPr>
    </w:lvl>
    <w:lvl w:ilvl="7" w:tplc="8FBEEE9C">
      <w:start w:val="1"/>
      <w:numFmt w:val="bullet"/>
      <w:lvlText w:val="●"/>
      <w:lvlJc w:val="left"/>
      <w:pPr>
        <w:ind w:left="5760" w:hanging="360"/>
      </w:pPr>
    </w:lvl>
    <w:lvl w:ilvl="8" w:tplc="9378E2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66F"/>
    <w:rsid w:val="0099566F"/>
    <w:rsid w:val="00A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34FE"/>
  <w15:docId w15:val="{A06F465B-F805-4109-8D84-7008EC4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188D54ED-C3EB-4E44-B8DE-793BCEDE5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98253-6A6A-43A7-92A8-E42A2DBC8531}">
  <ds:schemaRefs>
    <ds:schemaRef ds:uri="http://schemas.microsoft.com/sharepoint/v3/contenttype/forms"/>
  </ds:schemaRefs>
</ds:datastoreItem>
</file>

<file path=customXml/itemProps3.xml><?xml version="1.0" encoding="utf-8"?>
<ds:datastoreItem xmlns:ds="http://schemas.openxmlformats.org/officeDocument/2006/customXml" ds:itemID="{C3582F63-E374-4672-B270-A380670C549E}">
  <ds:schemaRefs>
    <ds:schemaRef ds:uri="http://schemas.openxmlformats.org/package/2006/metadata/core-properties"/>
    <ds:schemaRef ds:uri="http://schemas.microsoft.com/office/2006/metadata/properties"/>
    <ds:schemaRef ds:uri="d17a9ae8-130e-4057-b251-18a7d7ce0c05"/>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75d5f0e9-6578-4a78-b477-b96d28847d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Christine Wilson</cp:lastModifiedBy>
  <cp:revision>2</cp:revision>
  <dcterms:created xsi:type="dcterms:W3CDTF">2026-05-22T19:39:00Z</dcterms:created>
  <dcterms:modified xsi:type="dcterms:W3CDTF">2026-05-22T19:39:00Z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