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1D492" w14:textId="77777777" w:rsidR="000E1534" w:rsidRDefault="0016044D">
      <w:pPr>
        <w:spacing w:before="20"/>
        <w:jc w:val="center"/>
      </w:pPr>
      <w:r>
        <w:rPr>
          <w:b/>
          <w:bCs/>
        </w:rPr>
        <w:t>STUDENT FEE ADVISORY COMMITTEE (SFAC)</w:t>
      </w:r>
    </w:p>
    <w:p w14:paraId="4DE1D493" w14:textId="77777777" w:rsidR="000E1534" w:rsidRDefault="0016044D">
      <w:pPr>
        <w:spacing w:before="20"/>
        <w:jc w:val="center"/>
      </w:pPr>
      <w:r>
        <w:rPr>
          <w:b/>
          <w:bCs/>
        </w:rPr>
        <w:t>Week 6 – Spring Quarter Meeting</w:t>
      </w:r>
    </w:p>
    <w:p w14:paraId="4DE1D494" w14:textId="77777777" w:rsidR="000E1534" w:rsidRDefault="0016044D">
      <w:pPr>
        <w:spacing w:before="20"/>
        <w:jc w:val="center"/>
      </w:pPr>
      <w:r>
        <w:rPr>
          <w:b/>
          <w:bCs/>
        </w:rPr>
        <w:t>Friday, May 8, 2026</w:t>
      </w:r>
    </w:p>
    <w:p w14:paraId="4DE1D495" w14:textId="77777777" w:rsidR="000E1534" w:rsidRDefault="0016044D">
      <w:pPr>
        <w:spacing w:before="20"/>
        <w:jc w:val="center"/>
      </w:pPr>
      <w:r>
        <w:rPr>
          <w:b/>
          <w:bCs/>
        </w:rPr>
        <w:t>Location: Zoom</w:t>
      </w:r>
    </w:p>
    <w:p w14:paraId="4DE1D496" w14:textId="77777777" w:rsidR="000E1534" w:rsidRDefault="0016044D">
      <w:pPr>
        <w:spacing w:before="20"/>
        <w:jc w:val="center"/>
      </w:pPr>
      <w:r>
        <w:rPr>
          <w:b/>
          <w:bCs/>
        </w:rPr>
        <w:t>Time: 1:00 PM – 3:00 PM</w:t>
      </w:r>
    </w:p>
    <w:p w14:paraId="4DE1D497" w14:textId="77777777" w:rsidR="000E1534" w:rsidRDefault="000E1534">
      <w:pPr>
        <w:spacing w:before="80"/>
      </w:pPr>
    </w:p>
    <w:p w14:paraId="4DE1D498" w14:textId="77777777" w:rsidR="000E1534" w:rsidRDefault="0016044D">
      <w:pPr>
        <w:spacing w:before="200"/>
      </w:pPr>
      <w:r>
        <w:rPr>
          <w:b/>
          <w:bCs/>
          <w:u w:val="single"/>
        </w:rPr>
        <w:t>Attendance</w:t>
      </w:r>
    </w:p>
    <w:p w14:paraId="4DE1D499" w14:textId="77777777" w:rsidR="000E1534" w:rsidRDefault="0016044D">
      <w:pPr>
        <w:spacing w:before="80"/>
      </w:pPr>
      <w:r>
        <w:rPr>
          <w:b/>
          <w:bCs/>
          <w:i/>
          <w:iCs/>
        </w:rPr>
        <w:t>Present</w:t>
      </w:r>
    </w:p>
    <w:p w14:paraId="4DE1D49A" w14:textId="77777777" w:rsidR="000E1534" w:rsidRDefault="0016044D">
      <w:pPr>
        <w:spacing w:before="40"/>
      </w:pPr>
      <w:r>
        <w:rPr>
          <w:b/>
          <w:bCs/>
        </w:rPr>
        <w:t xml:space="preserve">Graduate Students: </w:t>
      </w:r>
      <w:r>
        <w:t>Chair Sanjali Mitra; Christina Chance; Pratik Manwani</w:t>
      </w:r>
    </w:p>
    <w:p w14:paraId="4DE1D49B" w14:textId="77777777" w:rsidR="000E1534" w:rsidRDefault="0016044D">
      <w:pPr>
        <w:spacing w:before="40"/>
      </w:pPr>
      <w:r>
        <w:rPr>
          <w:b/>
          <w:bCs/>
        </w:rPr>
        <w:t xml:space="preserve">Undergraduate Students: </w:t>
      </w:r>
      <w:r>
        <w:t>Vice Chair Allston Liu</w:t>
      </w:r>
    </w:p>
    <w:p w14:paraId="4DE1D49C" w14:textId="77777777" w:rsidR="000E1534" w:rsidRDefault="0016044D">
      <w:pPr>
        <w:spacing w:before="40"/>
      </w:pPr>
      <w:r>
        <w:rPr>
          <w:b/>
          <w:bCs/>
        </w:rPr>
        <w:t xml:space="preserve">Administrators: </w:t>
      </w:r>
      <w:r>
        <w:t>Karen Hedges; Erinn McMahan</w:t>
      </w:r>
    </w:p>
    <w:p w14:paraId="4DE1D49D" w14:textId="77777777" w:rsidR="000E1534" w:rsidRDefault="0016044D">
      <w:pPr>
        <w:spacing w:before="40"/>
      </w:pPr>
      <w:r>
        <w:rPr>
          <w:b/>
          <w:bCs/>
        </w:rPr>
        <w:t xml:space="preserve">Advisor: </w:t>
      </w:r>
      <w:r>
        <w:t>Christine Wilson</w:t>
      </w:r>
    </w:p>
    <w:p w14:paraId="4DE1D49E" w14:textId="77777777" w:rsidR="000E1534" w:rsidRDefault="000E1534">
      <w:pPr>
        <w:spacing w:before="80"/>
      </w:pPr>
    </w:p>
    <w:p w14:paraId="4DE1D49F" w14:textId="77777777" w:rsidR="000E1534" w:rsidRDefault="0016044D">
      <w:pPr>
        <w:spacing w:before="80"/>
      </w:pPr>
      <w:r>
        <w:rPr>
          <w:b/>
          <w:bCs/>
          <w:i/>
          <w:iCs/>
        </w:rPr>
        <w:t>Not Present</w:t>
      </w:r>
    </w:p>
    <w:p w14:paraId="4DE1D4A0" w14:textId="77777777" w:rsidR="000E1534" w:rsidRDefault="0016044D">
      <w:pPr>
        <w:spacing w:before="40"/>
      </w:pPr>
      <w:r>
        <w:rPr>
          <w:b/>
          <w:bCs/>
        </w:rPr>
        <w:t xml:space="preserve">Graduate Students: </w:t>
      </w:r>
      <w:r>
        <w:t>Yiping Wang</w:t>
      </w:r>
    </w:p>
    <w:p w14:paraId="4DE1D4A1" w14:textId="77777777" w:rsidR="000E1534" w:rsidRDefault="0016044D">
      <w:pPr>
        <w:spacing w:before="40"/>
      </w:pPr>
      <w:r>
        <w:rPr>
          <w:b/>
          <w:bCs/>
        </w:rPr>
        <w:t xml:space="preserve">Undergraduate Students: </w:t>
      </w:r>
      <w:r>
        <w:t xml:space="preserve">Emily Kim; Flo Cudal; </w:t>
      </w:r>
      <w:proofErr w:type="spellStart"/>
      <w:r>
        <w:t>Mehreen</w:t>
      </w:r>
      <w:proofErr w:type="spellEnd"/>
      <w:r>
        <w:t xml:space="preserve"> </w:t>
      </w:r>
      <w:proofErr w:type="spellStart"/>
      <w:r>
        <w:t>Suzaan</w:t>
      </w:r>
      <w:proofErr w:type="spellEnd"/>
    </w:p>
    <w:p w14:paraId="4DE1D4A2" w14:textId="77777777" w:rsidR="000E1534" w:rsidRDefault="000E1534">
      <w:pPr>
        <w:spacing w:before="80"/>
      </w:pPr>
    </w:p>
    <w:p w14:paraId="4DE1D4A3" w14:textId="77777777" w:rsidR="000E1534" w:rsidRDefault="0016044D">
      <w:pPr>
        <w:spacing w:before="120"/>
      </w:pPr>
      <w:r>
        <w:rPr>
          <w:b/>
          <w:bCs/>
          <w:u w:val="single"/>
        </w:rPr>
        <w:t>Guests</w:t>
      </w:r>
    </w:p>
    <w:p w14:paraId="4DE1D4A4" w14:textId="77777777" w:rsidR="000E1534" w:rsidRDefault="0016044D">
      <w:pPr>
        <w:spacing w:before="80"/>
      </w:pPr>
      <w:r>
        <w:t>Kayleigh MacPherson, Assistant Vice Chancellor for</w:t>
      </w:r>
      <w:r>
        <w:t xml:space="preserve"> Student Affairs; Jodi Lieberman and Vera Bakman, Academic Planning and Budget (APB)</w:t>
      </w:r>
    </w:p>
    <w:p w14:paraId="4DE1D4A5" w14:textId="77777777" w:rsidR="000E1534" w:rsidRDefault="000E1534">
      <w:pPr>
        <w:spacing w:before="80"/>
      </w:pPr>
    </w:p>
    <w:p w14:paraId="4DE1D4A6" w14:textId="77777777" w:rsidR="000E1534" w:rsidRDefault="0016044D">
      <w:pPr>
        <w:spacing w:before="200"/>
      </w:pPr>
      <w:r>
        <w:rPr>
          <w:b/>
          <w:bCs/>
          <w:u w:val="single"/>
        </w:rPr>
        <w:t>Agenda</w:t>
      </w:r>
    </w:p>
    <w:p w14:paraId="4DE1D4A7" w14:textId="77777777" w:rsidR="000E1534" w:rsidRDefault="0016044D">
      <w:pPr>
        <w:spacing w:before="40"/>
      </w:pPr>
      <w:r>
        <w:t>1. Approval of the Agenda</w:t>
      </w:r>
    </w:p>
    <w:p w14:paraId="4DE1D4A8" w14:textId="77777777" w:rsidR="000E1534" w:rsidRDefault="0016044D">
      <w:pPr>
        <w:spacing w:before="40"/>
      </w:pPr>
      <w:r>
        <w:t>2. Update from Assistant VC Kayleigh MacPherson on SSF Reallocation</w:t>
      </w:r>
    </w:p>
    <w:p w14:paraId="4DE1D4A9" w14:textId="77777777" w:rsidR="000E1534" w:rsidRDefault="0016044D">
      <w:pPr>
        <w:spacing w:before="40"/>
      </w:pPr>
      <w:r>
        <w:t>3. Discussion: Course Material Fees — Capstone (Bioengineering) and S</w:t>
      </w:r>
      <w:r>
        <w:t>chool of Dentistry</w:t>
      </w:r>
    </w:p>
    <w:p w14:paraId="4DE1D4AA" w14:textId="77777777" w:rsidR="000E1534" w:rsidRDefault="0016044D">
      <w:pPr>
        <w:spacing w:before="40"/>
      </w:pPr>
      <w:r>
        <w:t>4. Review OTC (Erinn) — Deferred</w:t>
      </w:r>
    </w:p>
    <w:p w14:paraId="4DE1D4AB" w14:textId="77777777" w:rsidR="000E1534" w:rsidRDefault="0016044D">
      <w:pPr>
        <w:spacing w:before="40"/>
      </w:pPr>
      <w:r>
        <w:t>5. SSF Funding Allocation Discussion</w:t>
      </w:r>
    </w:p>
    <w:p w14:paraId="4DE1D4AC" w14:textId="77777777" w:rsidR="000E1534" w:rsidRDefault="000E1534">
      <w:pPr>
        <w:spacing w:before="80"/>
      </w:pPr>
    </w:p>
    <w:p w14:paraId="4DE1D4AD" w14:textId="77777777" w:rsidR="000E1534" w:rsidRDefault="0016044D">
      <w:pPr>
        <w:spacing w:before="200"/>
      </w:pPr>
      <w:r>
        <w:rPr>
          <w:b/>
          <w:bCs/>
          <w:u w:val="single"/>
        </w:rPr>
        <w:t>Call to Order</w:t>
      </w:r>
    </w:p>
    <w:p w14:paraId="4DE1D4AE" w14:textId="77777777" w:rsidR="000E1534" w:rsidRDefault="0016044D">
      <w:pPr>
        <w:spacing w:before="80"/>
      </w:pPr>
      <w:r>
        <w:t>Chair Sanjali Mitra called the meeting to order at approximately 1:00 PM. Quorum was confirmed.</w:t>
      </w:r>
    </w:p>
    <w:p w14:paraId="4DE1D4AF" w14:textId="77777777" w:rsidR="000E1534" w:rsidRDefault="0016044D">
      <w:pPr>
        <w:spacing w:before="200"/>
      </w:pPr>
      <w:r>
        <w:rPr>
          <w:b/>
          <w:bCs/>
          <w:u w:val="single"/>
        </w:rPr>
        <w:t>1. Approval of the Agenda</w:t>
      </w:r>
    </w:p>
    <w:p w14:paraId="4DE1D4B0" w14:textId="77777777" w:rsidR="000E1534" w:rsidRDefault="0016044D">
      <w:pPr>
        <w:spacing w:before="80"/>
      </w:pPr>
      <w:r>
        <w:t>Chair Mitra called for a motion to approve the agenda. Christina Chance moved to approve the agenda. Allston Liu seconded. The agenda was approved.</w:t>
      </w:r>
    </w:p>
    <w:p w14:paraId="4DE1D4B1" w14:textId="77777777" w:rsidR="000E1534" w:rsidRDefault="0016044D">
      <w:pPr>
        <w:spacing w:before="200"/>
      </w:pPr>
      <w:r>
        <w:rPr>
          <w:b/>
          <w:bCs/>
          <w:u w:val="single"/>
        </w:rPr>
        <w:t>2. Update from Assistant VC Kayleigh MacPherson on SSF Reallocation</w:t>
      </w:r>
    </w:p>
    <w:p w14:paraId="4DE1D4B2" w14:textId="77777777" w:rsidR="000E1534" w:rsidRDefault="0016044D">
      <w:pPr>
        <w:spacing w:before="80"/>
      </w:pPr>
      <w:r>
        <w:t>Kayleigh MacPherson, Assistant Vice Chan</w:t>
      </w:r>
      <w:r>
        <w:t>cellor for Student Affairs, presented an overview of the Student Affairs SSF reallocation process for the current cycle. She explained that carry-forward funding is collected from departments' prior-year (FY 24-25) ending balances, with the recapture perce</w:t>
      </w:r>
      <w:r>
        <w:t xml:space="preserve">ntage </w:t>
      </w:r>
      <w:r>
        <w:lastRenderedPageBreak/>
        <w:t>increased this cycle from 25% to 33% due to elevated ending balances resulting from the campus hiring freeze and other operational impacts.</w:t>
      </w:r>
    </w:p>
    <w:p w14:paraId="4DE1D4B3" w14:textId="77777777" w:rsidR="000E1534" w:rsidRDefault="0016044D">
      <w:pPr>
        <w:spacing w:before="80"/>
      </w:pPr>
      <w:r>
        <w:t>The areas funded through this reallocation cycle include: student-facing IT and systems infrastructure (the la</w:t>
      </w:r>
      <w:r>
        <w:t>rgest bucket), student staffing support (particularly for Recreation and the Graduate Student Resource Center), graduate student orientation (supplemental support for a larger, enhanced event developed in partnership with the Division of Graduate Education</w:t>
      </w:r>
      <w:r>
        <w:t>), and advisors for students in the conduct process. MacPherson explained that the conduct advisor positions are now mandated by the state and were funded from this pool given the compressed implementation timeline, though a more sustainable funding source</w:t>
      </w:r>
      <w:r>
        <w:t xml:space="preserve"> is being identified. She clarified that the state has not provided any funding to support this unfunded mandate.</w:t>
      </w:r>
    </w:p>
    <w:p w14:paraId="4DE1D4B4" w14:textId="77777777" w:rsidR="000E1534" w:rsidRDefault="0016044D">
      <w:pPr>
        <w:spacing w:before="80"/>
      </w:pPr>
      <w:r>
        <w:t>MacPherson noted that reallocation requests not funded were declined either because an alternative funding source existed (such as state funds</w:t>
      </w:r>
      <w:r>
        <w:t xml:space="preserve"> or mental health allocations) or because the unit had sufficient carry-forward. The reallocation pool is fully spent; no surplus remains.</w:t>
      </w:r>
    </w:p>
    <w:p w14:paraId="4DE1D4B5" w14:textId="77777777" w:rsidR="000E1534" w:rsidRDefault="0016044D">
      <w:pPr>
        <w:spacing w:before="80"/>
      </w:pPr>
      <w:r>
        <w:t>In response to Chair Mitra's question about the committee's operating budget, MacPherson explained that SFAC's budget</w:t>
      </w:r>
      <w:r>
        <w:t xml:space="preserve"> comes through the Vice Chancellor's office and is typically set based on prior-year expenditures. She recommended that the incoming chair work with Student Affairs early — ideally in February or March — to project the following year's budget, particularly</w:t>
      </w:r>
      <w:r>
        <w:t xml:space="preserve"> given that UCLA may be hosting the next UC-wide CSF meeting, which would increase costs. She committed to providing historical itemized expenditure data for the committee's budget within one to two weeks.</w:t>
      </w:r>
    </w:p>
    <w:p w14:paraId="4DE1D4B6" w14:textId="77777777" w:rsidR="000E1534" w:rsidRDefault="0016044D">
      <w:pPr>
        <w:spacing w:before="80"/>
      </w:pPr>
      <w:r>
        <w:t>Chair Mitra raised the possibility of Student Affa</w:t>
      </w:r>
      <w:r>
        <w:t>irs providing part-time student staff support to help SFAC with outreach, website updates, and social media. MacPherson agreed to explore this as part of broader budget conversations.</w:t>
      </w:r>
    </w:p>
    <w:p w14:paraId="4DE1D4B7" w14:textId="77777777" w:rsidR="000E1534" w:rsidRDefault="0016044D">
      <w:pPr>
        <w:spacing w:before="200"/>
      </w:pPr>
      <w:r>
        <w:rPr>
          <w:b/>
          <w:bCs/>
          <w:u w:val="single"/>
        </w:rPr>
        <w:t>3. Course Material Fees</w:t>
      </w:r>
    </w:p>
    <w:p w14:paraId="4DE1D4B8" w14:textId="77777777" w:rsidR="000E1534" w:rsidRDefault="0016044D">
      <w:pPr>
        <w:spacing w:before="80"/>
      </w:pPr>
      <w:r>
        <w:t>Jodi Lieberman and Vera Bakman from APB presente</w:t>
      </w:r>
      <w:r>
        <w:t>d two course material fee proposals requiring a committee vote. Both required the Chancellor's signature by May 15, necessitating a vote today.</w:t>
      </w:r>
    </w:p>
    <w:p w14:paraId="4DE1D4B9" w14:textId="77777777" w:rsidR="000E1534" w:rsidRDefault="0016044D">
      <w:pPr>
        <w:spacing w:before="120"/>
      </w:pPr>
      <w:r>
        <w:rPr>
          <w:b/>
          <w:bCs/>
        </w:rPr>
        <w:t>School of Dentistry — DDS Dental Kit Course Material Fee</w:t>
      </w:r>
    </w:p>
    <w:p w14:paraId="4DE1D4BA" w14:textId="77777777" w:rsidR="000E1534" w:rsidRDefault="0016044D">
      <w:pPr>
        <w:spacing w:before="80"/>
      </w:pPr>
      <w:r>
        <w:t>The School of Dentistry proposed modifying its existing Gown and Instrument Course Material Fee to incorporate the cost of the mandatory DDS dental kit, which students currently purchase separately through ASUCLA out of pocket. Incorporating the kit into t</w:t>
      </w:r>
      <w:r>
        <w:t>he course material fee would allow it to appear on students' Bruin Bills and be covered by financial aid, addressing a longstanding student concern. The total cost of attendance would not increase; this is a reclassification of an existing mandatory expens</w:t>
      </w:r>
      <w:r>
        <w:t>e. Approximately 91% of surveyed students (160 of 350 respondents) supported the change.</w:t>
      </w:r>
    </w:p>
    <w:p w14:paraId="4DE1D4BB" w14:textId="77777777" w:rsidR="000E1534" w:rsidRDefault="0016044D">
      <w:pPr>
        <w:spacing w:before="80"/>
      </w:pPr>
      <w:r>
        <w:t>The proposal also restructures the fee from four quarterly charges to three, to align with the academic program year and ensure revenues are collected in the same fisc</w:t>
      </w:r>
      <w:r>
        <w:t>al year as kit purchase expenses. Chair Mitra raised a question about whether the use of course material fee funds for personnel (the sterilization unit staff) was permitted; Christine Wilson and Jodi Lieberman confirmed that highly specialized support sta</w:t>
      </w:r>
      <w:r>
        <w:t>ff whose work is integral to the course are an allowable expense under updated guidelines. The committee discussed the change in per-quarter charges, and members generally found the proposal straightforward — a net-neutral restructuring that improves affor</w:t>
      </w:r>
      <w:r>
        <w:t>dability for dental students.</w:t>
      </w:r>
    </w:p>
    <w:p w14:paraId="4DE1D4BC" w14:textId="77777777" w:rsidR="000E1534" w:rsidRDefault="0016044D">
      <w:pPr>
        <w:spacing w:before="80"/>
      </w:pPr>
      <w:r>
        <w:t>Chair Mitra moved to vote on the School of Dentistry course material fee proposal. All members present voted in favor. The proposal was approved unanimously.</w:t>
      </w:r>
    </w:p>
    <w:p w14:paraId="73C5F065" w14:textId="77777777" w:rsidR="0016044D" w:rsidRDefault="0016044D">
      <w:pPr>
        <w:spacing w:before="120"/>
        <w:rPr>
          <w:b/>
          <w:bCs/>
        </w:rPr>
      </w:pPr>
    </w:p>
    <w:p w14:paraId="4DE1D4BD" w14:textId="05A3B0E5" w:rsidR="000E1534" w:rsidRDefault="0016044D">
      <w:pPr>
        <w:spacing w:before="120"/>
      </w:pPr>
      <w:r>
        <w:rPr>
          <w:b/>
          <w:bCs/>
        </w:rPr>
        <w:lastRenderedPageBreak/>
        <w:t>Bioengineering Capstone — BE 177A Course Material Fee</w:t>
      </w:r>
    </w:p>
    <w:p w14:paraId="4DE1D4BE" w14:textId="77777777" w:rsidR="000E1534" w:rsidRDefault="0016044D">
      <w:pPr>
        <w:spacing w:before="80"/>
      </w:pPr>
      <w:r>
        <w:t>The Department</w:t>
      </w:r>
      <w:r>
        <w:t xml:space="preserve"> of Bioengineering proposed establishing a new $100 course material fee for Bioengineering 177A (Capstone Design, Part 1). This is a project-based course in which student teams conduct biomedical device and therapeutic design work. The existing fee of $50 </w:t>
      </w:r>
      <w:r>
        <w:t>on Part 2 (BE 177B) has not changed since 2009. The proposal would bring the total Capstone fee to $150 across the two courses, which Bioengineering noted is below comparable fees at peer institutions and other UCLA engineering programs.</w:t>
      </w:r>
    </w:p>
    <w:p w14:paraId="4DE1D4BF" w14:textId="77777777" w:rsidR="000E1534" w:rsidRDefault="0016044D">
      <w:pPr>
        <w:spacing w:before="80"/>
      </w:pPr>
      <w:r>
        <w:t>The department cit</w:t>
      </w:r>
      <w:r>
        <w:t>ed multiple cost pressures: inflation in biomedical research materials (some reagents have increased 282% since 2009), the loss of grant funding that previously supplemented the fee, department-wide budget cuts eliminating the ability to subsidize shortfal</w:t>
      </w:r>
      <w:r>
        <w:t>ls, and a growing student cohort requiring more project groups. At the new fee level, each team would receive a $750 project budget — actually less than the $1,000 per team budgeted in the most recent year.</w:t>
      </w:r>
    </w:p>
    <w:p w14:paraId="4DE1D4C0" w14:textId="77777777" w:rsidR="000E1534" w:rsidRDefault="0016044D">
      <w:pPr>
        <w:spacing w:before="80"/>
      </w:pPr>
      <w:r>
        <w:t>The committee raised a number of concerns, many o</w:t>
      </w:r>
      <w:r>
        <w:t>f which had also been raised the previous year when this proposal was first presented. Chair Mitra noted that students in prior years had commented that most groups pursue computational projects, which carry far lower material costs than wet-lab or device-</w:t>
      </w:r>
      <w:r>
        <w:t>based projects, and questioned whether it is equitable to charge all students the same fee regardless of track. Christina Chance raised a similar concern, asking whether different tracks could carry different fees. Christine Wilson noted that the committee</w:t>
      </w:r>
      <w:r>
        <w:t xml:space="preserve"> is required to consider individual survey responses, not just aggregate results, and the committee did not receive those this year. Chair Mitra also noted that the survey language — asking whether students would support a fee even if it meant a lower-qual</w:t>
      </w:r>
      <w:r>
        <w:t>ity course — may not represent fully free and informed consent.</w:t>
      </w:r>
    </w:p>
    <w:p w14:paraId="4DE1D4C1" w14:textId="77777777" w:rsidR="000E1534" w:rsidRDefault="0016044D">
      <w:pPr>
        <w:spacing w:before="80"/>
      </w:pPr>
      <w:r>
        <w:t>After reviewing actual expenditure data provided by APB for the current academic year (approximately $215 per student), which exceeds the proposed $150 per student fee, the committee concluded</w:t>
      </w:r>
      <w:r>
        <w:t xml:space="preserve"> that the request is supported by the data, though questions about track equity remain. Chair Mitra moved to vote on the Bioengineering course material fee, with an accompanying recommendation that the department survey students on whether the fee should b</w:t>
      </w:r>
      <w:r>
        <w:t>e differentiated by track. All members voted in favor. The proposal was approved with the added recommendation.</w:t>
      </w:r>
    </w:p>
    <w:p w14:paraId="4DE1D4C2" w14:textId="77777777" w:rsidR="000E1534" w:rsidRDefault="0016044D">
      <w:pPr>
        <w:spacing w:before="200"/>
      </w:pPr>
      <w:r>
        <w:rPr>
          <w:b/>
          <w:bCs/>
          <w:u w:val="single"/>
        </w:rPr>
        <w:t>4. OTC Review — Deferred</w:t>
      </w:r>
    </w:p>
    <w:p w14:paraId="4DE1D4C3" w14:textId="77777777" w:rsidR="000E1534" w:rsidRDefault="0016044D">
      <w:pPr>
        <w:spacing w:before="80"/>
      </w:pPr>
      <w:r>
        <w:t>Erinn McMahan had prepared slides for the OTC (Central Ticket Office) review but needed to leave the meeting at 2:30 PM</w:t>
      </w:r>
      <w:r>
        <w:t>. She sent the slides to Chair Mitra and offered to present the following week. The OTC review was deferred to Week 7.</w:t>
      </w:r>
    </w:p>
    <w:p w14:paraId="4DE1D4C4" w14:textId="77777777" w:rsidR="000E1534" w:rsidRDefault="0016044D">
      <w:pPr>
        <w:spacing w:before="200"/>
      </w:pPr>
      <w:r>
        <w:rPr>
          <w:b/>
          <w:bCs/>
          <w:u w:val="single"/>
        </w:rPr>
        <w:t>5. SSF Funding Allocation Discussion</w:t>
      </w:r>
    </w:p>
    <w:p w14:paraId="4DE1D4C5" w14:textId="77777777" w:rsidR="000E1534" w:rsidRDefault="0016044D">
      <w:pPr>
        <w:spacing w:before="80"/>
      </w:pPr>
      <w:r>
        <w:t>Chair Mitra briefly reviewed the current state of the two allocation scenarios. Under Scenario A (re</w:t>
      </w:r>
      <w:r>
        <w:t>ferendum passes), total recommended allocations are approximately $389,000, leaving a buffer within the $500,000 cap. Under Scenario B (referendum does not pass), total recommended allocations exceed $500,000 by approximately $110,000. Chair Mitra noted th</w:t>
      </w:r>
      <w:r>
        <w:t>at USAC elections run through May 15 (end of Week 7), so the committee will know referendum results before voting in Week 8.</w:t>
      </w:r>
    </w:p>
    <w:p w14:paraId="4DE1D4C6" w14:textId="77777777" w:rsidR="000E1534" w:rsidRDefault="0016044D">
      <w:pPr>
        <w:spacing w:before="80"/>
      </w:pPr>
      <w:r>
        <w:t>Karen Hedges confirmed that GSA elections are complete and that most measures passed. She noted the USAC referenda are now on the b</w:t>
      </w:r>
      <w:r>
        <w:t>allot. The committee briefly discussed where cuts might be made in Scenario B, with Christine Wilson suggesting each member think through where they would reduce allocations to bring the total within budget, and that the committee look for consensus at the</w:t>
      </w:r>
      <w:r>
        <w:t xml:space="preserve"> Week 7 meeting. No allocation decisions were made today.</w:t>
      </w:r>
    </w:p>
    <w:p w14:paraId="36CB5272" w14:textId="77777777" w:rsidR="0016044D" w:rsidRDefault="0016044D">
      <w:pPr>
        <w:spacing w:before="200"/>
        <w:rPr>
          <w:b/>
          <w:bCs/>
          <w:u w:val="single"/>
        </w:rPr>
      </w:pPr>
    </w:p>
    <w:p w14:paraId="4DE1D4C7" w14:textId="0BA43D2B" w:rsidR="000E1534" w:rsidRDefault="0016044D">
      <w:pPr>
        <w:spacing w:before="200"/>
      </w:pPr>
      <w:r>
        <w:rPr>
          <w:b/>
          <w:bCs/>
          <w:u w:val="single"/>
        </w:rPr>
        <w:lastRenderedPageBreak/>
        <w:t>Adjournment</w:t>
      </w:r>
    </w:p>
    <w:p w14:paraId="4DE1D4C8" w14:textId="13DDCCAE" w:rsidR="000E1534" w:rsidRDefault="0016044D">
      <w:pPr>
        <w:spacing w:before="80"/>
      </w:pPr>
      <w:r>
        <w:t>Chair Mitra adjourned the meeting at approximately 3:00 PM (no quorum by this time)</w:t>
      </w:r>
      <w:bookmarkStart w:id="0" w:name="_GoBack"/>
      <w:bookmarkEnd w:id="0"/>
    </w:p>
    <w:sectPr w:rsidR="000E1534">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A32C40"/>
    <w:multiLevelType w:val="hybridMultilevel"/>
    <w:tmpl w:val="A6F6AD4A"/>
    <w:lvl w:ilvl="0" w:tplc="69C89AF4">
      <w:start w:val="1"/>
      <w:numFmt w:val="bullet"/>
      <w:lvlText w:val="●"/>
      <w:lvlJc w:val="left"/>
      <w:pPr>
        <w:ind w:left="720" w:hanging="360"/>
      </w:pPr>
    </w:lvl>
    <w:lvl w:ilvl="1" w:tplc="317CAD58">
      <w:start w:val="1"/>
      <w:numFmt w:val="bullet"/>
      <w:lvlText w:val="○"/>
      <w:lvlJc w:val="left"/>
      <w:pPr>
        <w:ind w:left="1440" w:hanging="360"/>
      </w:pPr>
    </w:lvl>
    <w:lvl w:ilvl="2" w:tplc="A8D0A1F4">
      <w:start w:val="1"/>
      <w:numFmt w:val="bullet"/>
      <w:lvlText w:val="■"/>
      <w:lvlJc w:val="left"/>
      <w:pPr>
        <w:ind w:left="2160" w:hanging="360"/>
      </w:pPr>
    </w:lvl>
    <w:lvl w:ilvl="3" w:tplc="A3A0DCF2">
      <w:start w:val="1"/>
      <w:numFmt w:val="bullet"/>
      <w:lvlText w:val="●"/>
      <w:lvlJc w:val="left"/>
      <w:pPr>
        <w:ind w:left="2880" w:hanging="360"/>
      </w:pPr>
    </w:lvl>
    <w:lvl w:ilvl="4" w:tplc="F1F29088">
      <w:start w:val="1"/>
      <w:numFmt w:val="bullet"/>
      <w:lvlText w:val="○"/>
      <w:lvlJc w:val="left"/>
      <w:pPr>
        <w:ind w:left="3600" w:hanging="360"/>
      </w:pPr>
    </w:lvl>
    <w:lvl w:ilvl="5" w:tplc="31BC4092">
      <w:start w:val="1"/>
      <w:numFmt w:val="bullet"/>
      <w:lvlText w:val="■"/>
      <w:lvlJc w:val="left"/>
      <w:pPr>
        <w:ind w:left="4320" w:hanging="360"/>
      </w:pPr>
    </w:lvl>
    <w:lvl w:ilvl="6" w:tplc="6DC6B3DE">
      <w:start w:val="1"/>
      <w:numFmt w:val="bullet"/>
      <w:lvlText w:val="●"/>
      <w:lvlJc w:val="left"/>
      <w:pPr>
        <w:ind w:left="5040" w:hanging="360"/>
      </w:pPr>
    </w:lvl>
    <w:lvl w:ilvl="7" w:tplc="FE78DCAA">
      <w:start w:val="1"/>
      <w:numFmt w:val="bullet"/>
      <w:lvlText w:val="●"/>
      <w:lvlJc w:val="left"/>
      <w:pPr>
        <w:ind w:left="5760" w:hanging="360"/>
      </w:pPr>
    </w:lvl>
    <w:lvl w:ilvl="8" w:tplc="261EB21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2"/>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534"/>
    <w:rsid w:val="000E1534"/>
    <w:rsid w:val="00160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1D492"/>
  <w15:docId w15:val="{A06F465B-F805-4109-8D84-7008EC4E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B6BE1EF364B54A96D5F2C74B36F60F" ma:contentTypeVersion="18" ma:contentTypeDescription="Create a new document." ma:contentTypeScope="" ma:versionID="ff8c90d8152727ba1762533ed0d5ba9b">
  <xsd:schema xmlns:xsd="http://www.w3.org/2001/XMLSchema" xmlns:xs="http://www.w3.org/2001/XMLSchema" xmlns:p="http://schemas.microsoft.com/office/2006/metadata/properties" xmlns:ns3="d17a9ae8-130e-4057-b251-18a7d7ce0c05" xmlns:ns4="75d5f0e9-6578-4a78-b477-b96d28847dce" targetNamespace="http://schemas.microsoft.com/office/2006/metadata/properties" ma:root="true" ma:fieldsID="9bad227c2776135440e338058cdc0039" ns3:_="" ns4:_="">
    <xsd:import namespace="d17a9ae8-130e-4057-b251-18a7d7ce0c05"/>
    <xsd:import namespace="75d5f0e9-6578-4a78-b477-b96d28847dc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a9ae8-130e-4057-b251-18a7d7ce0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d5f0e9-6578-4a78-b477-b96d28847dc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17a9ae8-130e-4057-b251-18a7d7ce0c05" xsi:nil="true"/>
  </documentManagement>
</p:properties>
</file>

<file path=customXml/itemProps1.xml><?xml version="1.0" encoding="utf-8"?>
<ds:datastoreItem xmlns:ds="http://schemas.openxmlformats.org/officeDocument/2006/customXml" ds:itemID="{C8CE2CCF-43C8-4BEA-95D9-084D34958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a9ae8-130e-4057-b251-18a7d7ce0c05"/>
    <ds:schemaRef ds:uri="75d5f0e9-6578-4a78-b477-b96d28847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5A303-C08C-4708-8FC0-FD62365131F3}">
  <ds:schemaRefs>
    <ds:schemaRef ds:uri="http://schemas.microsoft.com/sharepoint/v3/contenttype/forms"/>
  </ds:schemaRefs>
</ds:datastoreItem>
</file>

<file path=customXml/itemProps3.xml><?xml version="1.0" encoding="utf-8"?>
<ds:datastoreItem xmlns:ds="http://schemas.openxmlformats.org/officeDocument/2006/customXml" ds:itemID="{177CE4DF-61ED-4308-BBE3-81EC3F0790C8}">
  <ds:schemaRefs>
    <ds:schemaRef ds:uri="http://purl.org/dc/dcmitype/"/>
    <ds:schemaRef ds:uri="http://schemas.microsoft.com/office/2006/metadata/properties"/>
    <ds:schemaRef ds:uri="http://purl.org/dc/elements/1.1/"/>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75d5f0e9-6578-4a78-b477-b96d28847dce"/>
    <ds:schemaRef ds:uri="d17a9ae8-130e-4057-b251-18a7d7ce0c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1346</Words>
  <Characters>7675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Christine Wilson</cp:lastModifiedBy>
  <cp:revision>2</cp:revision>
  <dcterms:created xsi:type="dcterms:W3CDTF">2026-05-22T19:51:00Z</dcterms:created>
  <dcterms:modified xsi:type="dcterms:W3CDTF">2026-05-22T19:51:00Z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0x01010065B6BE1EF364B54A96D5F2C74B36F60F</vt:lpwstr>
  </property>
</Properties>
</file>